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554EF" w:rsidRDefault="0025106C" w:rsidP="00617D1E">
      <w:pPr>
        <w:pStyle w:val="1"/>
        <w:numPr>
          <w:ilvl w:val="0"/>
          <w:numId w:val="0"/>
        </w:numPr>
        <w:ind w:left="2722"/>
        <w:rPr>
          <w:b/>
          <w:color w:val="000000" w:themeColor="text1"/>
          <w:sz w:val="40"/>
          <w:szCs w:val="40"/>
        </w:rPr>
      </w:pPr>
      <w:r w:rsidRPr="005554EF">
        <w:rPr>
          <w:rFonts w:hint="eastAsia"/>
          <w:b/>
          <w:color w:val="000000" w:themeColor="text1"/>
          <w:sz w:val="40"/>
          <w:szCs w:val="40"/>
        </w:rPr>
        <w:t>糾</w:t>
      </w:r>
      <w:r w:rsidR="00617D1E" w:rsidRPr="005554EF">
        <w:rPr>
          <w:rFonts w:hint="eastAsia"/>
          <w:b/>
          <w:color w:val="000000" w:themeColor="text1"/>
          <w:sz w:val="40"/>
          <w:szCs w:val="40"/>
        </w:rPr>
        <w:t xml:space="preserve"> </w:t>
      </w:r>
      <w:r w:rsidRPr="005554EF">
        <w:rPr>
          <w:rFonts w:hint="eastAsia"/>
          <w:b/>
          <w:color w:val="000000" w:themeColor="text1"/>
          <w:sz w:val="40"/>
          <w:szCs w:val="40"/>
        </w:rPr>
        <w:t>正</w:t>
      </w:r>
      <w:r w:rsidR="00617D1E" w:rsidRPr="005554EF">
        <w:rPr>
          <w:rFonts w:hint="eastAsia"/>
          <w:b/>
          <w:color w:val="000000" w:themeColor="text1"/>
          <w:sz w:val="40"/>
          <w:szCs w:val="40"/>
        </w:rPr>
        <w:t xml:space="preserve"> </w:t>
      </w:r>
      <w:r w:rsidRPr="005554EF">
        <w:rPr>
          <w:rFonts w:hint="eastAsia"/>
          <w:b/>
          <w:color w:val="000000" w:themeColor="text1"/>
          <w:sz w:val="40"/>
          <w:szCs w:val="40"/>
        </w:rPr>
        <w:t>案</w:t>
      </w:r>
      <w:r w:rsidR="00617D1E" w:rsidRPr="005554EF">
        <w:rPr>
          <w:rFonts w:hint="eastAsia"/>
          <w:b/>
          <w:color w:val="000000" w:themeColor="text1"/>
          <w:sz w:val="40"/>
          <w:szCs w:val="40"/>
        </w:rPr>
        <w:t xml:space="preserve"> </w:t>
      </w:r>
      <w:r w:rsidRPr="005554EF">
        <w:rPr>
          <w:rFonts w:hint="eastAsia"/>
          <w:b/>
          <w:color w:val="000000" w:themeColor="text1"/>
          <w:sz w:val="40"/>
          <w:szCs w:val="40"/>
        </w:rPr>
        <w:t>文</w:t>
      </w:r>
    </w:p>
    <w:p w:rsidR="00E25849" w:rsidRPr="005554EF" w:rsidRDefault="0025106C" w:rsidP="001C5555">
      <w:pPr>
        <w:pStyle w:val="1"/>
        <w:rPr>
          <w:color w:val="000000" w:themeColor="text1"/>
        </w:rPr>
      </w:pPr>
      <w:r w:rsidRPr="005554EF">
        <w:rPr>
          <w:rFonts w:hint="eastAsia"/>
          <w:color w:val="000000" w:themeColor="text1"/>
        </w:rPr>
        <w:t>被糾正機關：</w:t>
      </w:r>
      <w:r w:rsidR="00E53D87" w:rsidRPr="005554EF">
        <w:rPr>
          <w:rFonts w:hint="eastAsia"/>
          <w:color w:val="000000" w:themeColor="text1"/>
        </w:rPr>
        <w:t>衛生福利部</w:t>
      </w:r>
      <w:r w:rsidRPr="005554EF">
        <w:rPr>
          <w:rFonts w:hint="eastAsia"/>
          <w:color w:val="000000" w:themeColor="text1"/>
        </w:rPr>
        <w:t>。</w:t>
      </w:r>
    </w:p>
    <w:p w:rsidR="00E25849" w:rsidRPr="005554EF" w:rsidRDefault="0025106C" w:rsidP="001C5555">
      <w:pPr>
        <w:pStyle w:val="1"/>
        <w:rPr>
          <w:color w:val="000000" w:themeColor="text1"/>
        </w:rPr>
      </w:pPr>
      <w:r w:rsidRPr="005554EF">
        <w:rPr>
          <w:rFonts w:hint="eastAsia"/>
          <w:color w:val="000000" w:themeColor="text1"/>
        </w:rPr>
        <w:t>案　　　由：</w:t>
      </w:r>
      <w:r w:rsidR="006C6552" w:rsidRPr="005554EF">
        <w:rPr>
          <w:rFonts w:hint="eastAsia"/>
          <w:color w:val="000000" w:themeColor="text1"/>
        </w:rPr>
        <w:t>衛生</w:t>
      </w:r>
      <w:proofErr w:type="gramStart"/>
      <w:r w:rsidR="006C6552" w:rsidRPr="005554EF">
        <w:rPr>
          <w:rFonts w:hint="eastAsia"/>
          <w:color w:val="000000" w:themeColor="text1"/>
        </w:rPr>
        <w:t>福利部為身心</w:t>
      </w:r>
      <w:proofErr w:type="gramEnd"/>
      <w:r w:rsidR="006C6552" w:rsidRPr="005554EF">
        <w:rPr>
          <w:rFonts w:hint="eastAsia"/>
          <w:color w:val="000000" w:themeColor="text1"/>
        </w:rPr>
        <w:t>障礙者權益維護之中央主管機關，對認知障礙及情緒行為困擾障礙者之</w:t>
      </w:r>
      <w:proofErr w:type="gramStart"/>
      <w:r w:rsidR="006C6552" w:rsidRPr="005554EF">
        <w:rPr>
          <w:rFonts w:hint="eastAsia"/>
          <w:color w:val="000000" w:themeColor="text1"/>
        </w:rPr>
        <w:t>樣態及需</w:t>
      </w:r>
      <w:proofErr w:type="gramEnd"/>
      <w:r w:rsidR="006C6552" w:rsidRPr="005554EF">
        <w:rPr>
          <w:rFonts w:hint="eastAsia"/>
          <w:color w:val="000000" w:themeColor="text1"/>
        </w:rPr>
        <w:t>求等，迄今仍無相關統計數據，經監察院107年提案糾正後仍未改善；近年來推動身心障礙者社區式照顧服務資源布建，未能將具情緒行為問題障礙者需求納入考量，致這類具情緒行為問題障礙者面臨服務資源難以使用、遭服務單位拒絕，致其等融入社區及自立生活困難重重，</w:t>
      </w:r>
      <w:proofErr w:type="gramStart"/>
      <w:r w:rsidR="006C6552" w:rsidRPr="005554EF">
        <w:rPr>
          <w:rFonts w:hint="eastAsia"/>
          <w:color w:val="000000" w:themeColor="text1"/>
        </w:rPr>
        <w:t>衛福部核</w:t>
      </w:r>
      <w:proofErr w:type="gramEnd"/>
      <w:r w:rsidR="006C6552" w:rsidRPr="005554EF">
        <w:rPr>
          <w:rFonts w:hint="eastAsia"/>
          <w:color w:val="000000" w:themeColor="text1"/>
        </w:rPr>
        <w:t>有違失</w:t>
      </w:r>
      <w:r w:rsidR="008B4841" w:rsidRPr="005554EF">
        <w:rPr>
          <w:rFonts w:hAnsi="標楷體" w:hint="eastAsia"/>
          <w:color w:val="000000" w:themeColor="text1"/>
        </w:rPr>
        <w:t>，</w:t>
      </w:r>
      <w:r w:rsidR="008B4841" w:rsidRPr="005554EF">
        <w:rPr>
          <w:rFonts w:hint="eastAsia"/>
          <w:color w:val="000000" w:themeColor="text1"/>
        </w:rPr>
        <w:t>爰依法提案糾正</w:t>
      </w:r>
      <w:r w:rsidRPr="005554EF">
        <w:rPr>
          <w:rFonts w:hint="eastAsia"/>
          <w:color w:val="000000" w:themeColor="text1"/>
        </w:rPr>
        <w:t>。</w:t>
      </w:r>
    </w:p>
    <w:p w:rsidR="00E25849" w:rsidRPr="005554EF" w:rsidRDefault="00DB3135" w:rsidP="001C5555">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554E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4315F" w:rsidRPr="005554EF" w:rsidRDefault="0064315F" w:rsidP="00617D1E">
      <w:pPr>
        <w:pStyle w:val="10"/>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554EF">
        <w:rPr>
          <w:rFonts w:hint="eastAsia"/>
          <w:color w:val="000000" w:themeColor="text1"/>
        </w:rPr>
        <w:t>身心障礙者享有居住自由、自立生活與融合社區之權益，</w:t>
      </w:r>
      <w:r w:rsidRPr="005554EF">
        <w:rPr>
          <w:rFonts w:hAnsi="標楷體" w:hint="eastAsia"/>
          <w:color w:val="000000" w:themeColor="text1"/>
        </w:rPr>
        <w:t>應受到積極的保障</w:t>
      </w:r>
      <w:r w:rsidRPr="005554EF">
        <w:rPr>
          <w:rFonts w:hint="eastAsia"/>
          <w:color w:val="000000" w:themeColor="text1"/>
        </w:rPr>
        <w:t>，此由身心障礙者權利公約(下稱</w:t>
      </w:r>
      <w:r w:rsidRPr="005554EF">
        <w:rPr>
          <w:color w:val="000000" w:themeColor="text1"/>
        </w:rPr>
        <w:t>CRPD)</w:t>
      </w:r>
      <w:r w:rsidRPr="005554EF">
        <w:rPr>
          <w:rFonts w:hint="eastAsia"/>
          <w:color w:val="000000" w:themeColor="text1"/>
        </w:rPr>
        <w:t>第19條及身心障礙者權益保障法(下稱身權法)第16條第1項、第50條規定所</w:t>
      </w:r>
      <w:r w:rsidRPr="005554EF">
        <w:rPr>
          <w:rFonts w:hAnsi="標楷體" w:hint="eastAsia"/>
          <w:color w:val="000000" w:themeColor="text1"/>
        </w:rPr>
        <w:t>揭示</w:t>
      </w:r>
      <w:r w:rsidRPr="005554EF">
        <w:rPr>
          <w:rFonts w:hAnsi="標楷體"/>
          <w:color w:val="000000" w:themeColor="text1"/>
          <w:vertAlign w:val="superscript"/>
        </w:rPr>
        <w:footnoteReference w:id="1"/>
      </w:r>
      <w:r w:rsidRPr="005554EF">
        <w:rPr>
          <w:rFonts w:hAnsi="標楷體" w:hint="eastAsia"/>
          <w:color w:val="000000" w:themeColor="text1"/>
        </w:rPr>
        <w:t>。政府機關應依身心障礙者權利公約施行法(下稱C</w:t>
      </w:r>
      <w:r w:rsidRPr="005554EF">
        <w:rPr>
          <w:rFonts w:hAnsi="標楷體"/>
          <w:color w:val="000000" w:themeColor="text1"/>
        </w:rPr>
        <w:t>RPD</w:t>
      </w:r>
      <w:r w:rsidRPr="005554EF">
        <w:rPr>
          <w:rFonts w:hAnsi="標楷體" w:hint="eastAsia"/>
          <w:color w:val="000000" w:themeColor="text1"/>
        </w:rPr>
        <w:t>施行法)第4條規定</w:t>
      </w:r>
      <w:r w:rsidRPr="005554EF">
        <w:rPr>
          <w:rFonts w:hAnsi="標楷體"/>
          <w:color w:val="000000" w:themeColor="text1"/>
          <w:vertAlign w:val="superscript"/>
        </w:rPr>
        <w:footnoteReference w:id="2"/>
      </w:r>
      <w:r w:rsidRPr="005554EF">
        <w:rPr>
          <w:rFonts w:hAnsi="標楷體" w:hint="eastAsia"/>
          <w:color w:val="000000" w:themeColor="text1"/>
        </w:rPr>
        <w:t>，積極促進各項身心障礙者權利之實現，</w:t>
      </w:r>
      <w:proofErr w:type="gramStart"/>
      <w:r w:rsidRPr="005554EF">
        <w:rPr>
          <w:rFonts w:hAnsi="標楷體" w:hint="eastAsia"/>
          <w:color w:val="000000" w:themeColor="text1"/>
        </w:rPr>
        <w:t>俾</w:t>
      </w:r>
      <w:proofErr w:type="gramEnd"/>
      <w:r w:rsidRPr="005554EF">
        <w:rPr>
          <w:rFonts w:hAnsi="標楷體" w:hint="eastAsia"/>
          <w:color w:val="000000" w:themeColor="text1"/>
        </w:rPr>
        <w:t>其等獲得最佳</w:t>
      </w:r>
      <w:r w:rsidRPr="005554EF">
        <w:rPr>
          <w:rFonts w:hAnsi="標楷體" w:hint="eastAsia"/>
          <w:color w:val="000000" w:themeColor="text1"/>
        </w:rPr>
        <w:lastRenderedPageBreak/>
        <w:t>利益之保護。</w:t>
      </w:r>
    </w:p>
    <w:p w:rsidR="0064315F" w:rsidRPr="005554EF" w:rsidRDefault="0064315F" w:rsidP="00617D1E">
      <w:pPr>
        <w:pStyle w:val="10"/>
        <w:ind w:left="680" w:firstLine="680"/>
        <w:rPr>
          <w:color w:val="000000" w:themeColor="text1"/>
        </w:rPr>
      </w:pPr>
      <w:r w:rsidRPr="005554EF">
        <w:rPr>
          <w:rFonts w:hint="eastAsia"/>
          <w:color w:val="000000" w:themeColor="text1"/>
        </w:rPr>
        <w:t>但現階段身心障礙者欠缺社區支持資源及安置資源不足，照顧者僅能將其送入全日型機構，致機構不當對待身心障礙者的事件時有所聞，尤其是認知障礙及情緒行為困擾的自閉症障礙者(即第一分類系統障礙，主要指涵蓋智能障礙、自閉症、合併智能障礙或自閉症之多重障礙者。就情緒行為的特性而言，這個族群核心困擾之</w:t>
      </w:r>
      <w:proofErr w:type="gramStart"/>
      <w:r w:rsidRPr="005554EF">
        <w:rPr>
          <w:rFonts w:hint="eastAsia"/>
          <w:color w:val="000000" w:themeColor="text1"/>
        </w:rPr>
        <w:t>一</w:t>
      </w:r>
      <w:proofErr w:type="gramEnd"/>
      <w:r w:rsidRPr="005554EF">
        <w:rPr>
          <w:rFonts w:hint="eastAsia"/>
          <w:color w:val="000000" w:themeColor="text1"/>
        </w:rPr>
        <w:t>即為情緒支持或行為輔導需求較高)融入社區生活更是困難重重。特別是當家庭照顧者及身心障礙者逐漸老化，究主管機關是否關注身心障礙者老化的照顧議題？是否提供充足的資源來保障障礙者及其家屬的基本權利？</w:t>
      </w:r>
      <w:proofErr w:type="gramStart"/>
      <w:r w:rsidRPr="005554EF">
        <w:rPr>
          <w:rFonts w:hint="eastAsia"/>
          <w:color w:val="000000" w:themeColor="text1"/>
        </w:rPr>
        <w:t>挹</w:t>
      </w:r>
      <w:proofErr w:type="gramEnd"/>
      <w:r w:rsidRPr="005554EF">
        <w:rPr>
          <w:rFonts w:hint="eastAsia"/>
          <w:color w:val="000000" w:themeColor="text1"/>
        </w:rPr>
        <w:t>注多少支持與照顧資源及經費？照顧服務之專業人力及能力情形如何？讓自閉症者社區生活及安置的資源配置？等，</w:t>
      </w:r>
      <w:proofErr w:type="gramStart"/>
      <w:r w:rsidRPr="005554EF">
        <w:rPr>
          <w:rFonts w:hint="eastAsia"/>
          <w:color w:val="000000" w:themeColor="text1"/>
        </w:rPr>
        <w:t>均有詳加</w:t>
      </w:r>
      <w:proofErr w:type="gramEnd"/>
      <w:r w:rsidRPr="005554EF">
        <w:rPr>
          <w:rFonts w:hint="eastAsia"/>
          <w:color w:val="000000" w:themeColor="text1"/>
        </w:rPr>
        <w:t>瞭解之必要，遂申請自動調查。</w:t>
      </w:r>
    </w:p>
    <w:p w:rsidR="0064315F" w:rsidRPr="005554EF" w:rsidRDefault="0064315F" w:rsidP="00617D1E">
      <w:pPr>
        <w:pStyle w:val="10"/>
        <w:ind w:left="680" w:firstLine="680"/>
        <w:rPr>
          <w:color w:val="000000" w:themeColor="text1"/>
        </w:rPr>
      </w:pPr>
      <w:r w:rsidRPr="005554EF">
        <w:rPr>
          <w:rFonts w:hint="eastAsia"/>
          <w:color w:val="000000" w:themeColor="text1"/>
        </w:rPr>
        <w:t>案經函請行政院</w:t>
      </w:r>
      <w:r w:rsidRPr="005554EF">
        <w:rPr>
          <w:color w:val="000000" w:themeColor="text1"/>
          <w:vertAlign w:val="superscript"/>
        </w:rPr>
        <w:footnoteReference w:id="3"/>
      </w:r>
      <w:r w:rsidRPr="005554EF">
        <w:rPr>
          <w:rFonts w:hint="eastAsia"/>
          <w:color w:val="000000" w:themeColor="text1"/>
        </w:rPr>
        <w:t>、衛生福利部（下稱衛福部）</w:t>
      </w:r>
      <w:r w:rsidRPr="005554EF">
        <w:rPr>
          <w:color w:val="000000" w:themeColor="text1"/>
          <w:vertAlign w:val="superscript"/>
        </w:rPr>
        <w:footnoteReference w:id="4"/>
      </w:r>
      <w:r w:rsidRPr="005554EF">
        <w:rPr>
          <w:rFonts w:hint="eastAsia"/>
          <w:color w:val="000000" w:themeColor="text1"/>
        </w:rPr>
        <w:t>、教育部</w:t>
      </w:r>
      <w:r w:rsidRPr="005554EF">
        <w:rPr>
          <w:color w:val="000000" w:themeColor="text1"/>
          <w:vertAlign w:val="superscript"/>
        </w:rPr>
        <w:footnoteReference w:id="5"/>
      </w:r>
      <w:r w:rsidRPr="005554EF">
        <w:rPr>
          <w:rFonts w:hint="eastAsia"/>
          <w:color w:val="000000" w:themeColor="text1"/>
        </w:rPr>
        <w:t>、勞動部</w:t>
      </w:r>
      <w:r w:rsidRPr="005554EF">
        <w:rPr>
          <w:color w:val="000000" w:themeColor="text1"/>
          <w:vertAlign w:val="superscript"/>
        </w:rPr>
        <w:footnoteReference w:id="6"/>
      </w:r>
      <w:r w:rsidRPr="005554EF">
        <w:rPr>
          <w:rFonts w:hint="eastAsia"/>
          <w:color w:val="000000" w:themeColor="text1"/>
        </w:rPr>
        <w:t>等相關機關對本案提出說明並提供相關資料，於民國(下同)111年3月7日及9月20日分別赴高雄市情緒行為支持中心、臺北市立陽明教養院情緒行為支持中心實地履</w:t>
      </w:r>
      <w:proofErr w:type="gramStart"/>
      <w:r w:rsidRPr="005554EF">
        <w:rPr>
          <w:rFonts w:hint="eastAsia"/>
          <w:color w:val="000000" w:themeColor="text1"/>
        </w:rPr>
        <w:t>勘</w:t>
      </w:r>
      <w:proofErr w:type="gramEnd"/>
      <w:r w:rsidRPr="005554EF">
        <w:rPr>
          <w:rFonts w:hint="eastAsia"/>
          <w:color w:val="000000" w:themeColor="text1"/>
        </w:rPr>
        <w:t>，並於111年3月2日邀請情緒行為精神醫療外展服務模式及轉</w:t>
      </w:r>
      <w:proofErr w:type="gramStart"/>
      <w:r w:rsidRPr="005554EF">
        <w:rPr>
          <w:rFonts w:hint="eastAsia"/>
          <w:color w:val="000000" w:themeColor="text1"/>
        </w:rPr>
        <w:t>介</w:t>
      </w:r>
      <w:proofErr w:type="gramEnd"/>
      <w:r w:rsidRPr="005554EF">
        <w:rPr>
          <w:rFonts w:hint="eastAsia"/>
          <w:color w:val="000000" w:themeColor="text1"/>
        </w:rPr>
        <w:t>服務網絡成員召開座談會議，111年4月13日辦理本案諮詢會議，並於111年6月15日詢問行政院林萬億政務委員、衛福部心理健</w:t>
      </w:r>
      <w:proofErr w:type="gramStart"/>
      <w:r w:rsidRPr="005554EF">
        <w:rPr>
          <w:rFonts w:hint="eastAsia"/>
          <w:color w:val="000000" w:themeColor="text1"/>
        </w:rPr>
        <w:t>康司</w:t>
      </w:r>
      <w:r w:rsidRPr="005554EF">
        <w:rPr>
          <w:color w:val="000000" w:themeColor="text1"/>
          <w:vertAlign w:val="superscript"/>
        </w:rPr>
        <w:footnoteReference w:id="7"/>
      </w:r>
      <w:proofErr w:type="gramEnd"/>
      <w:r w:rsidRPr="005554EF">
        <w:rPr>
          <w:rFonts w:hint="eastAsia"/>
          <w:color w:val="000000" w:themeColor="text1"/>
        </w:rPr>
        <w:t>諶立中司長、社會及家庭署(下</w:t>
      </w:r>
      <w:proofErr w:type="gramStart"/>
      <w:r w:rsidRPr="005554EF">
        <w:rPr>
          <w:rFonts w:hint="eastAsia"/>
          <w:color w:val="000000" w:themeColor="text1"/>
        </w:rPr>
        <w:t>稱社家署</w:t>
      </w:r>
      <w:proofErr w:type="gramEnd"/>
      <w:r w:rsidRPr="005554EF">
        <w:rPr>
          <w:rFonts w:hint="eastAsia"/>
          <w:color w:val="000000" w:themeColor="text1"/>
        </w:rPr>
        <w:t>)張美美副署長、教育部國民及學前教育署(下稱國教署)彭富源署長、勞動部勞動力</w:t>
      </w:r>
      <w:r w:rsidRPr="005554EF">
        <w:rPr>
          <w:rFonts w:hint="eastAsia"/>
          <w:color w:val="000000" w:themeColor="text1"/>
        </w:rPr>
        <w:lastRenderedPageBreak/>
        <w:t>發展署(下稱</w:t>
      </w:r>
      <w:proofErr w:type="gramStart"/>
      <w:r w:rsidRPr="005554EF">
        <w:rPr>
          <w:rFonts w:hint="eastAsia"/>
          <w:color w:val="000000" w:themeColor="text1"/>
        </w:rPr>
        <w:t>勞發署</w:t>
      </w:r>
      <w:proofErr w:type="gramEnd"/>
      <w:r w:rsidRPr="005554EF">
        <w:rPr>
          <w:rFonts w:hint="eastAsia"/>
          <w:color w:val="000000" w:themeColor="text1"/>
        </w:rPr>
        <w:t>)蔡孟良署長等相關機關主管及承辦人員，業已調查完畢。茲</w:t>
      </w:r>
      <w:proofErr w:type="gramStart"/>
      <w:r w:rsidRPr="005554EF">
        <w:rPr>
          <w:rFonts w:hint="eastAsia"/>
          <w:color w:val="000000" w:themeColor="text1"/>
        </w:rPr>
        <w:t>臚</w:t>
      </w:r>
      <w:proofErr w:type="gramEnd"/>
      <w:r w:rsidRPr="005554EF">
        <w:rPr>
          <w:rFonts w:hint="eastAsia"/>
          <w:color w:val="000000" w:themeColor="text1"/>
        </w:rPr>
        <w:t>列</w:t>
      </w:r>
      <w:r w:rsidR="00E53D87" w:rsidRPr="005554EF">
        <w:rPr>
          <w:rFonts w:hint="eastAsia"/>
          <w:color w:val="000000" w:themeColor="text1"/>
        </w:rPr>
        <w:t>糾正</w:t>
      </w:r>
      <w:r w:rsidRPr="005554EF">
        <w:rPr>
          <w:rFonts w:hint="eastAsia"/>
          <w:color w:val="000000" w:themeColor="text1"/>
        </w:rPr>
        <w:t>意見如下：</w:t>
      </w:r>
    </w:p>
    <w:p w:rsidR="0064315F" w:rsidRPr="005554EF" w:rsidRDefault="00E71D2F" w:rsidP="00E71D2F">
      <w:pPr>
        <w:pStyle w:val="2"/>
        <w:numPr>
          <w:ilvl w:val="0"/>
          <w:numId w:val="0"/>
        </w:numPr>
        <w:ind w:leftChars="200" w:left="680"/>
        <w:rPr>
          <w:color w:val="000000" w:themeColor="text1"/>
        </w:rPr>
      </w:pPr>
      <w:bookmarkStart w:id="41" w:name="_Toc124325917"/>
      <w:r w:rsidRPr="005554EF">
        <w:rPr>
          <w:rFonts w:hint="eastAsia"/>
          <w:color w:val="000000" w:themeColor="text1"/>
        </w:rPr>
        <w:t xml:space="preserve">    </w:t>
      </w:r>
      <w:r w:rsidR="0064315F" w:rsidRPr="005554EF">
        <w:rPr>
          <w:rFonts w:hint="eastAsia"/>
          <w:color w:val="000000" w:themeColor="text1"/>
        </w:rPr>
        <w:t>身心障礙者</w:t>
      </w:r>
      <w:bookmarkStart w:id="42" w:name="_Hlk119916935"/>
      <w:r w:rsidR="0064315F" w:rsidRPr="005554EF">
        <w:rPr>
          <w:rFonts w:hint="eastAsia"/>
          <w:color w:val="000000" w:themeColor="text1"/>
        </w:rPr>
        <w:t>享有居住自由、自立生活與融合社區之權益，</w:t>
      </w:r>
      <w:bookmarkEnd w:id="42"/>
      <w:r w:rsidR="0064315F" w:rsidRPr="005554EF">
        <w:rPr>
          <w:rFonts w:hint="eastAsia"/>
          <w:color w:val="000000" w:themeColor="text1"/>
        </w:rPr>
        <w:t>應受到積極的保障，政府應蒐集統計與研究資料，</w:t>
      </w:r>
      <w:proofErr w:type="gramStart"/>
      <w:r w:rsidR="0064315F" w:rsidRPr="005554EF">
        <w:rPr>
          <w:rFonts w:hint="eastAsia"/>
          <w:color w:val="000000" w:themeColor="text1"/>
        </w:rPr>
        <w:t>釐</w:t>
      </w:r>
      <w:proofErr w:type="gramEnd"/>
      <w:r w:rsidR="0064315F" w:rsidRPr="005554EF">
        <w:rPr>
          <w:rFonts w:hint="eastAsia"/>
          <w:color w:val="000000" w:themeColor="text1"/>
        </w:rPr>
        <w:t>明身心障礙者於行使其權利時面臨之障礙。衛福部指出，近10年0至6歲發展遲緩兒童通報人數，自100年15,848名，成長至110年26,392名，通報人數成長66.5%，復據教育部統計，各就學階段身心障礙且伴隨情緒行為障礙者，計9,033人(疑似生2,011人)，分占身心障礙者比率為7.1%、18.1%，顯見具情緒行為議題之身心障礙者人數眾多。</w:t>
      </w:r>
      <w:proofErr w:type="gramStart"/>
      <w:r w:rsidR="0064315F" w:rsidRPr="005554EF">
        <w:rPr>
          <w:rFonts w:hint="eastAsia"/>
          <w:color w:val="000000" w:themeColor="text1"/>
        </w:rPr>
        <w:t>惟衛福部為身心</w:t>
      </w:r>
      <w:proofErr w:type="gramEnd"/>
      <w:r w:rsidR="0064315F" w:rsidRPr="005554EF">
        <w:rPr>
          <w:rFonts w:hint="eastAsia"/>
          <w:color w:val="000000" w:themeColor="text1"/>
        </w:rPr>
        <w:t>障礙者權益維護之中央主管機關，究認知障礙及情緒行為困擾障礙者中，哪些有嚴重情緒行為問題？</w:t>
      </w:r>
      <w:proofErr w:type="gramStart"/>
      <w:r w:rsidR="0064315F" w:rsidRPr="005554EF">
        <w:rPr>
          <w:rFonts w:hint="eastAsia"/>
          <w:color w:val="000000" w:themeColor="text1"/>
        </w:rPr>
        <w:t>樣態及需求</w:t>
      </w:r>
      <w:proofErr w:type="gramEnd"/>
      <w:r w:rsidR="0064315F" w:rsidRPr="005554EF">
        <w:rPr>
          <w:rFonts w:hint="eastAsia"/>
          <w:color w:val="000000" w:themeColor="text1"/>
        </w:rPr>
        <w:t>如何？迄今仍無相關統計數據，經監察院107年提案糾正後仍未改善；雖衛福部近年來推動</w:t>
      </w:r>
      <w:r w:rsidR="0064315F" w:rsidRPr="005554EF">
        <w:rPr>
          <w:rFonts w:hAnsi="標楷體" w:hint="eastAsia"/>
          <w:color w:val="000000" w:themeColor="text1"/>
        </w:rPr>
        <w:t>「</w:t>
      </w:r>
      <w:r w:rsidR="0064315F" w:rsidRPr="005554EF">
        <w:rPr>
          <w:rFonts w:hint="eastAsia"/>
          <w:color w:val="000000" w:themeColor="text1"/>
        </w:rPr>
        <w:t>第2期身心障礙者社區式照顧服務資源布建規劃(110年-113年)</w:t>
      </w:r>
      <w:r w:rsidR="0064315F" w:rsidRPr="005554EF">
        <w:rPr>
          <w:color w:val="000000" w:themeColor="text1"/>
          <w:vertAlign w:val="superscript"/>
        </w:rPr>
        <w:footnoteReference w:id="8"/>
      </w:r>
      <w:r w:rsidR="0064315F" w:rsidRPr="005554EF">
        <w:rPr>
          <w:rFonts w:hAnsi="標楷體" w:hint="eastAsia"/>
          <w:color w:val="000000" w:themeColor="text1"/>
        </w:rPr>
        <w:t>」</w:t>
      </w:r>
      <w:r w:rsidR="0064315F" w:rsidRPr="005554EF">
        <w:rPr>
          <w:rFonts w:hint="eastAsia"/>
          <w:color w:val="000000" w:themeColor="text1"/>
        </w:rPr>
        <w:t>，發展身障者社區式服務</w:t>
      </w:r>
      <w:bookmarkStart w:id="43" w:name="_Hlk119589470"/>
      <w:r w:rsidR="0064315F" w:rsidRPr="005554EF">
        <w:rPr>
          <w:rFonts w:hint="eastAsia"/>
          <w:color w:val="000000" w:themeColor="text1"/>
        </w:rPr>
        <w:t>及充實資源配置，卻未能將具情緒行為問題障礙者需求納入考量，致這類具情緒行為問題障礙者面臨服務資源難以使用、遭服務單位拒絕，致其等融入社區及自立生活困難重重</w:t>
      </w:r>
      <w:bookmarkEnd w:id="43"/>
      <w:r w:rsidR="0064315F" w:rsidRPr="005554EF">
        <w:rPr>
          <w:rFonts w:hint="eastAsia"/>
          <w:color w:val="000000" w:themeColor="text1"/>
        </w:rPr>
        <w:t>，</w:t>
      </w:r>
      <w:proofErr w:type="gramStart"/>
      <w:r w:rsidR="0064315F" w:rsidRPr="005554EF">
        <w:rPr>
          <w:rFonts w:hint="eastAsia"/>
          <w:color w:val="000000" w:themeColor="text1"/>
        </w:rPr>
        <w:t>衛福部核有</w:t>
      </w:r>
      <w:proofErr w:type="gramEnd"/>
      <w:r w:rsidR="0064315F" w:rsidRPr="005554EF">
        <w:rPr>
          <w:rFonts w:hint="eastAsia"/>
          <w:color w:val="000000" w:themeColor="text1"/>
        </w:rPr>
        <w:t>違失；行政院允應加強督導所屬積極辦理改善。</w:t>
      </w:r>
      <w:bookmarkEnd w:id="41"/>
    </w:p>
    <w:p w:rsidR="0064315F" w:rsidRPr="005554EF" w:rsidRDefault="0064315F" w:rsidP="00617D1E">
      <w:pPr>
        <w:pStyle w:val="3"/>
        <w:rPr>
          <w:color w:val="000000" w:themeColor="text1"/>
        </w:rPr>
      </w:pPr>
      <w:bookmarkStart w:id="44" w:name="_Toc120783841"/>
      <w:bookmarkStart w:id="45" w:name="_Toc124325918"/>
      <w:r w:rsidRPr="005554EF">
        <w:rPr>
          <w:rFonts w:hint="eastAsia"/>
          <w:b/>
          <w:color w:val="000000" w:themeColor="text1"/>
        </w:rPr>
        <w:t>CRPD第19條、第26條第1項及第5號一般性意見揭示，身心障礙者享有居住自由、自立生活與融合社區之權益，應受到積極的保障；我國憲法明定身障者社區居住及自立生活支持服務，為法定事項，政府應蒐集統計與研究資料，</w:t>
      </w:r>
      <w:proofErr w:type="gramStart"/>
      <w:r w:rsidRPr="005554EF">
        <w:rPr>
          <w:rFonts w:hint="eastAsia"/>
          <w:b/>
          <w:color w:val="000000" w:themeColor="text1"/>
        </w:rPr>
        <w:t>釐</w:t>
      </w:r>
      <w:proofErr w:type="gramEnd"/>
      <w:r w:rsidRPr="005554EF">
        <w:rPr>
          <w:rFonts w:hint="eastAsia"/>
          <w:b/>
          <w:color w:val="000000" w:themeColor="text1"/>
        </w:rPr>
        <w:t>明身心障礙者於行使其權利時面臨之障礙，其相關規定如下</w:t>
      </w:r>
      <w:r w:rsidRPr="005554EF">
        <w:rPr>
          <w:rFonts w:hint="eastAsia"/>
          <w:color w:val="000000" w:themeColor="text1"/>
        </w:rPr>
        <w:t>：</w:t>
      </w:r>
      <w:bookmarkEnd w:id="44"/>
      <w:bookmarkEnd w:id="45"/>
    </w:p>
    <w:p w:rsidR="0064315F" w:rsidRPr="005554EF" w:rsidRDefault="0064315F" w:rsidP="001C5555">
      <w:pPr>
        <w:pStyle w:val="4"/>
        <w:rPr>
          <w:color w:val="000000" w:themeColor="text1"/>
        </w:rPr>
      </w:pPr>
      <w:r w:rsidRPr="005554EF">
        <w:rPr>
          <w:color w:val="000000" w:themeColor="text1"/>
        </w:rPr>
        <w:t>CRPD</w:t>
      </w:r>
      <w:r w:rsidRPr="005554EF">
        <w:rPr>
          <w:rFonts w:hint="eastAsia"/>
          <w:color w:val="000000" w:themeColor="text1"/>
        </w:rPr>
        <w:t>第19條(自立生活及社區融合)揭示：「本公</w:t>
      </w:r>
      <w:r w:rsidRPr="005554EF">
        <w:rPr>
          <w:rFonts w:hint="eastAsia"/>
          <w:color w:val="000000" w:themeColor="text1"/>
        </w:rPr>
        <w:lastRenderedPageBreak/>
        <w:t>約締約國肯認所有身心障礙者享有於社區中生活之平等權利以及與其他人同等之選擇，並應採取有效及適當之措施，以促進身心障礙者完整享有該等權利以及完整的社區融合及社區參與，包括確保：(a)</w:t>
      </w:r>
      <w:r w:rsidRPr="005554EF">
        <w:rPr>
          <w:rFonts w:hint="eastAsia"/>
          <w:color w:val="000000" w:themeColor="text1"/>
        </w:rPr>
        <w:tab/>
        <w:t>身心障礙者有機會在與其他人平等基礎上選擇居所，選擇於何處、與何人一起生活，不被強迫於特定之居住安排中生活；(b)</w:t>
      </w:r>
      <w:r w:rsidRPr="005554EF">
        <w:rPr>
          <w:rFonts w:hint="eastAsia"/>
          <w:color w:val="000000" w:themeColor="text1"/>
        </w:rPr>
        <w:tab/>
        <w:t>身心障礙者享有近用各種居家、住所及其他社區支持服務，包括必要之個人協助，以支持於社區生活及社區融合，避免孤立或隔離於社區之外；(c)</w:t>
      </w:r>
      <w:r w:rsidRPr="005554EF">
        <w:rPr>
          <w:rFonts w:hint="eastAsia"/>
          <w:color w:val="000000" w:themeColor="text1"/>
        </w:rPr>
        <w:tab/>
        <w:t>為大眾提供之社區服務及設施，亦可由身心障礙者平等使用，並回應其需求。」</w:t>
      </w:r>
    </w:p>
    <w:p w:rsidR="0064315F" w:rsidRPr="005554EF" w:rsidRDefault="0064315F" w:rsidP="001C5555">
      <w:pPr>
        <w:pStyle w:val="4"/>
        <w:rPr>
          <w:color w:val="000000" w:themeColor="text1"/>
        </w:rPr>
      </w:pPr>
      <w:r w:rsidRPr="005554EF">
        <w:rPr>
          <w:color w:val="000000" w:themeColor="text1"/>
        </w:rPr>
        <w:t>CRPD</w:t>
      </w:r>
      <w:r w:rsidRPr="005554EF">
        <w:rPr>
          <w:rFonts w:hint="eastAsia"/>
          <w:color w:val="000000" w:themeColor="text1"/>
        </w:rPr>
        <w:t>第26條第1項規定(適應訓練與復健)：</w:t>
      </w:r>
      <w:r w:rsidRPr="005554EF">
        <w:rPr>
          <w:rFonts w:hAnsi="標楷體" w:hint="eastAsia"/>
          <w:color w:val="000000" w:themeColor="text1"/>
        </w:rPr>
        <w:t>「</w:t>
      </w:r>
      <w:r w:rsidRPr="005554EF">
        <w:rPr>
          <w:rFonts w:hint="eastAsia"/>
          <w:color w:val="000000" w:themeColor="text1"/>
          <w:u w:val="single"/>
        </w:rPr>
        <w:t>締約國應採取有效與適當措施，</w:t>
      </w:r>
      <w:r w:rsidRPr="005554EF">
        <w:rPr>
          <w:rFonts w:hint="eastAsia"/>
          <w:color w:val="000000" w:themeColor="text1"/>
        </w:rPr>
        <w:t>包括經由同儕支持，</w:t>
      </w:r>
      <w:r w:rsidRPr="005554EF">
        <w:rPr>
          <w:rFonts w:hint="eastAsia"/>
          <w:color w:val="000000" w:themeColor="text1"/>
          <w:u w:val="single"/>
        </w:rPr>
        <w:t>使身心障礙者能夠達到及保持最大程度之自立，</w:t>
      </w:r>
      <w:r w:rsidRPr="005554EF">
        <w:rPr>
          <w:rFonts w:hint="eastAsia"/>
          <w:color w:val="000000" w:themeColor="text1"/>
        </w:rPr>
        <w:t>充分發揮及維持體能、智能、社會及職業能力，充分融合及參與生活所有方面。為此目的，締約國應組織、加強與擴展完整之適應訓練、復健服務及方案，尤其是於健康、就業、教育及社會服務等領域，該等服務與方案應：（a）及早開始依據個人需求與優勢能力進行跨專業之評估；（b）</w:t>
      </w:r>
      <w:r w:rsidRPr="005554EF">
        <w:rPr>
          <w:rFonts w:hint="eastAsia"/>
          <w:color w:val="000000" w:themeColor="text1"/>
          <w:u w:val="single"/>
        </w:rPr>
        <w:t>協助身心障礙者依其意願於社區及社會各層面之參與及融合，並</w:t>
      </w:r>
      <w:proofErr w:type="gramStart"/>
      <w:r w:rsidRPr="005554EF">
        <w:rPr>
          <w:rFonts w:hint="eastAsia"/>
          <w:color w:val="000000" w:themeColor="text1"/>
          <w:u w:val="single"/>
        </w:rPr>
        <w:t>儘</w:t>
      </w:r>
      <w:proofErr w:type="gramEnd"/>
      <w:r w:rsidRPr="005554EF">
        <w:rPr>
          <w:rFonts w:hint="eastAsia"/>
          <w:color w:val="000000" w:themeColor="text1"/>
          <w:u w:val="single"/>
        </w:rPr>
        <w:t>可能於身心障礙者最近社區，包括鄉村地區</w:t>
      </w:r>
      <w:r w:rsidRPr="005554EF">
        <w:rPr>
          <w:rFonts w:hint="eastAsia"/>
          <w:color w:val="000000" w:themeColor="text1"/>
        </w:rPr>
        <w:t>。</w:t>
      </w:r>
      <w:r w:rsidRPr="005554EF">
        <w:rPr>
          <w:rFonts w:hAnsi="標楷體" w:hint="eastAsia"/>
          <w:color w:val="000000" w:themeColor="text1"/>
        </w:rPr>
        <w:t>」</w:t>
      </w:r>
    </w:p>
    <w:p w:rsidR="0064315F" w:rsidRPr="005554EF" w:rsidRDefault="0064315F" w:rsidP="001C5555">
      <w:pPr>
        <w:pStyle w:val="4"/>
        <w:rPr>
          <w:color w:val="000000" w:themeColor="text1"/>
        </w:rPr>
      </w:pPr>
      <w:r w:rsidRPr="005554EF">
        <w:rPr>
          <w:rFonts w:hint="eastAsia"/>
          <w:color w:val="000000" w:themeColor="text1"/>
        </w:rPr>
        <w:t>CRPD第5號一般性意見</w:t>
      </w:r>
      <w:proofErr w:type="gramStart"/>
      <w:r w:rsidRPr="005554EF">
        <w:rPr>
          <w:rFonts w:hint="eastAsia"/>
          <w:color w:val="000000" w:themeColor="text1"/>
        </w:rPr>
        <w:t>（</w:t>
      </w:r>
      <w:proofErr w:type="gramEnd"/>
      <w:r w:rsidRPr="005554EF">
        <w:rPr>
          <w:rFonts w:hint="eastAsia"/>
          <w:color w:val="000000" w:themeColor="text1"/>
        </w:rPr>
        <w:t>第19條：自立生活與融合社區</w:t>
      </w:r>
      <w:proofErr w:type="gramStart"/>
      <w:r w:rsidRPr="005554EF">
        <w:rPr>
          <w:rFonts w:hint="eastAsia"/>
          <w:color w:val="000000" w:themeColor="text1"/>
        </w:rPr>
        <w:t>）</w:t>
      </w:r>
      <w:proofErr w:type="gramEnd"/>
      <w:r w:rsidRPr="005554EF">
        <w:rPr>
          <w:color w:val="000000" w:themeColor="text1"/>
          <w:vertAlign w:val="superscript"/>
        </w:rPr>
        <w:footnoteReference w:id="9"/>
      </w:r>
      <w:r w:rsidRPr="005554EF">
        <w:rPr>
          <w:rFonts w:hint="eastAsia"/>
          <w:color w:val="000000" w:themeColor="text1"/>
        </w:rPr>
        <w:t>指出，身心障礙者自由選擇及掌控自己的生活，屬核心人權原則，為了實現在享有與其他人同等選擇的情況下自立生活並融合社區的權</w:t>
      </w:r>
      <w:r w:rsidRPr="005554EF">
        <w:rPr>
          <w:rFonts w:hint="eastAsia"/>
          <w:color w:val="000000" w:themeColor="text1"/>
        </w:rPr>
        <w:lastRenderedPageBreak/>
        <w:t>利，</w:t>
      </w:r>
      <w:r w:rsidRPr="005554EF">
        <w:rPr>
          <w:rFonts w:hint="eastAsia"/>
          <w:color w:val="000000" w:themeColor="text1"/>
          <w:u w:val="single"/>
        </w:rPr>
        <w:t>締約國必須採取有效而適當的措施，促進身心障礙者完整享有這項權利並全面融合與參與社區</w:t>
      </w:r>
      <w:r w:rsidRPr="005554EF">
        <w:rPr>
          <w:color w:val="000000" w:themeColor="text1"/>
          <w:vertAlign w:val="superscript"/>
        </w:rPr>
        <w:footnoteReference w:id="10"/>
      </w:r>
      <w:r w:rsidRPr="005554EF">
        <w:rPr>
          <w:rFonts w:hint="eastAsia"/>
          <w:color w:val="000000" w:themeColor="text1"/>
        </w:rPr>
        <w:t>。該一般性意見並指出，個別化支持服務應被視為一種權利，而非醫療、社會或慈善照顧。對許多身心障礙者來說，獲得一系列個別化支持服務是在社區自立生活的前提。</w:t>
      </w:r>
      <w:r w:rsidRPr="005554EF">
        <w:rPr>
          <w:rFonts w:hint="eastAsia"/>
          <w:color w:val="000000" w:themeColor="text1"/>
          <w:u w:val="single"/>
        </w:rPr>
        <w:t>身心障礙者有權根據個人需求及個人偏好選擇服務及服務提供者，個別化支持應該保持靈活，足以適應「使用者」需求</w:t>
      </w:r>
      <w:r w:rsidRPr="005554EF">
        <w:rPr>
          <w:rFonts w:hint="eastAsia"/>
          <w:color w:val="000000" w:themeColor="text1"/>
        </w:rPr>
        <w:t>，而不是相反。</w:t>
      </w:r>
    </w:p>
    <w:p w:rsidR="0064315F" w:rsidRPr="005554EF" w:rsidRDefault="0064315F" w:rsidP="001C5555">
      <w:pPr>
        <w:pStyle w:val="4"/>
        <w:rPr>
          <w:color w:val="000000" w:themeColor="text1"/>
        </w:rPr>
      </w:pPr>
      <w:r w:rsidRPr="005554EF">
        <w:rPr>
          <w:rFonts w:hint="eastAsia"/>
          <w:color w:val="000000" w:themeColor="text1"/>
        </w:rPr>
        <w:t>CRPD第5號一般性意見並對</w:t>
      </w:r>
      <w:r w:rsidRPr="005554EF">
        <w:rPr>
          <w:rFonts w:hAnsi="標楷體" w:hint="eastAsia"/>
          <w:color w:val="000000" w:themeColor="text1"/>
        </w:rPr>
        <w:t>「</w:t>
      </w:r>
      <w:r w:rsidRPr="005554EF">
        <w:rPr>
          <w:rFonts w:hint="eastAsia"/>
          <w:color w:val="000000" w:themeColor="text1"/>
        </w:rPr>
        <w:tab/>
        <w:t>自立生活安排</w:t>
      </w:r>
      <w:r w:rsidRPr="005554EF">
        <w:rPr>
          <w:rFonts w:hAnsi="標楷體" w:hint="eastAsia"/>
          <w:color w:val="000000" w:themeColor="text1"/>
        </w:rPr>
        <w:t>」</w:t>
      </w:r>
      <w:r w:rsidRPr="005554EF">
        <w:rPr>
          <w:rFonts w:hint="eastAsia"/>
          <w:color w:val="000000" w:themeColor="text1"/>
        </w:rPr>
        <w:t>提出定義，自立生活與融合</w:t>
      </w:r>
      <w:proofErr w:type="gramStart"/>
      <w:r w:rsidRPr="005554EF">
        <w:rPr>
          <w:rFonts w:hint="eastAsia"/>
          <w:color w:val="000000" w:themeColor="text1"/>
        </w:rPr>
        <w:t>社區均指各種</w:t>
      </w:r>
      <w:proofErr w:type="gramEnd"/>
      <w:r w:rsidRPr="005554EF">
        <w:rPr>
          <w:rFonts w:hint="eastAsia"/>
          <w:color w:val="000000" w:themeColor="text1"/>
        </w:rPr>
        <w:t>收容機構以外的生活環境，而不「僅僅」是生活在某一特定建築或環境之內，首先且</w:t>
      </w:r>
      <w:r w:rsidRPr="005554EF">
        <w:rPr>
          <w:rFonts w:hint="eastAsia"/>
          <w:color w:val="000000" w:themeColor="text1"/>
          <w:u w:val="single"/>
        </w:rPr>
        <w:t>最重要的意義是指身心障礙者不會因被強迫接受某種生活與生活安排而喪失個人選擇及自主。</w:t>
      </w:r>
    </w:p>
    <w:p w:rsidR="0064315F" w:rsidRPr="005554EF" w:rsidRDefault="0064315F" w:rsidP="001C5555">
      <w:pPr>
        <w:pStyle w:val="4"/>
        <w:rPr>
          <w:color w:val="000000" w:themeColor="text1"/>
        </w:rPr>
      </w:pPr>
      <w:bookmarkStart w:id="46" w:name="_Hlk119935054"/>
      <w:r w:rsidRPr="005554EF">
        <w:rPr>
          <w:rFonts w:hAnsi="標楷體" w:hint="eastAsia"/>
          <w:b/>
          <w:color w:val="000000" w:themeColor="text1"/>
        </w:rPr>
        <w:t>我國憲法</w:t>
      </w:r>
      <w:proofErr w:type="gramStart"/>
      <w:r w:rsidRPr="005554EF">
        <w:rPr>
          <w:rFonts w:hAnsi="標楷體" w:hint="eastAsia"/>
          <w:b/>
          <w:color w:val="000000" w:themeColor="text1"/>
        </w:rPr>
        <w:t>及身權法</w:t>
      </w:r>
      <w:proofErr w:type="gramEnd"/>
      <w:r w:rsidRPr="005554EF">
        <w:rPr>
          <w:rFonts w:hAnsi="標楷體" w:hint="eastAsia"/>
          <w:b/>
          <w:color w:val="000000" w:themeColor="text1"/>
        </w:rPr>
        <w:t>明定身障者社區居住及自立生活支持服務，為法定事項：</w:t>
      </w:r>
      <w:r w:rsidRPr="005554EF">
        <w:rPr>
          <w:rFonts w:hAnsi="標楷體" w:hint="eastAsia"/>
          <w:color w:val="000000" w:themeColor="text1"/>
        </w:rPr>
        <w:t>憲法增修條文第10條第7項</w:t>
      </w:r>
      <w:bookmarkEnd w:id="46"/>
      <w:r w:rsidRPr="005554EF">
        <w:rPr>
          <w:rFonts w:hAnsi="標楷體" w:hint="eastAsia"/>
          <w:color w:val="000000" w:themeColor="text1"/>
        </w:rPr>
        <w:t>規定：「</w:t>
      </w:r>
      <w:r w:rsidRPr="005554EF">
        <w:rPr>
          <w:rFonts w:hint="eastAsia"/>
          <w:color w:val="000000" w:themeColor="text1"/>
        </w:rPr>
        <w:t>國家對於身心障礙者之保險與就醫、無障礙環境之建構、教育訓練與就業輔導及生活維護與救助，應予保障，並扶助其自立與發展。</w:t>
      </w:r>
      <w:r w:rsidRPr="005554EF">
        <w:rPr>
          <w:rFonts w:hAnsi="標楷體" w:hint="eastAsia"/>
          <w:color w:val="000000" w:themeColor="text1"/>
        </w:rPr>
        <w:t>」</w:t>
      </w:r>
      <w:proofErr w:type="gramStart"/>
      <w:r w:rsidRPr="005554EF">
        <w:rPr>
          <w:rFonts w:hint="eastAsia"/>
          <w:color w:val="000000" w:themeColor="text1"/>
        </w:rPr>
        <w:t>身權法</w:t>
      </w:r>
      <w:proofErr w:type="gramEnd"/>
      <w:r w:rsidRPr="005554EF">
        <w:rPr>
          <w:rFonts w:hint="eastAsia"/>
          <w:color w:val="000000" w:themeColor="text1"/>
        </w:rPr>
        <w:t>第16條第1項規定：「身心障礙者之人格及合法權益，應受尊重及保障，對其接受教育、應考、進用、就業、居住、遷徙、醫療等權益，不得有歧視之對待。」</w:t>
      </w:r>
      <w:proofErr w:type="gramStart"/>
      <w:r w:rsidRPr="005554EF">
        <w:rPr>
          <w:rFonts w:hint="eastAsia"/>
          <w:color w:val="000000" w:themeColor="text1"/>
        </w:rPr>
        <w:t>身權法</w:t>
      </w:r>
      <w:proofErr w:type="gramEnd"/>
      <w:r w:rsidRPr="005554EF">
        <w:rPr>
          <w:rFonts w:hint="eastAsia"/>
          <w:color w:val="000000" w:themeColor="text1"/>
        </w:rPr>
        <w:t>第50條規定：「直轄市、縣（市）主管機關應依需求評估結果辦理下列服務，提供身心障礙者獲得所需之個人支持及照顧，促進其生活品質、社會參與及自立</w:t>
      </w:r>
      <w:r w:rsidRPr="005554EF">
        <w:rPr>
          <w:rFonts w:hint="eastAsia"/>
          <w:color w:val="000000" w:themeColor="text1"/>
        </w:rPr>
        <w:lastRenderedPageBreak/>
        <w:t>生活：一、居家照顧。二、生活重建。三、心理重建。四、</w:t>
      </w:r>
      <w:r w:rsidRPr="005554EF">
        <w:rPr>
          <w:rFonts w:hint="eastAsia"/>
          <w:color w:val="000000" w:themeColor="text1"/>
          <w:u w:val="single"/>
        </w:rPr>
        <w:t>社區居住</w:t>
      </w:r>
      <w:r w:rsidRPr="005554EF">
        <w:rPr>
          <w:rFonts w:hint="eastAsia"/>
          <w:color w:val="000000" w:themeColor="text1"/>
        </w:rPr>
        <w:t>。五、婚姻及生育輔導。六、日間及住宿式照顧。七、</w:t>
      </w:r>
      <w:proofErr w:type="gramStart"/>
      <w:r w:rsidRPr="005554EF">
        <w:rPr>
          <w:rFonts w:hint="eastAsia"/>
          <w:color w:val="000000" w:themeColor="text1"/>
        </w:rPr>
        <w:t>家庭托顧</w:t>
      </w:r>
      <w:proofErr w:type="gramEnd"/>
      <w:r w:rsidRPr="005554EF">
        <w:rPr>
          <w:rFonts w:hint="eastAsia"/>
          <w:color w:val="000000" w:themeColor="text1"/>
        </w:rPr>
        <w:t>。八、課後照顧。九、</w:t>
      </w:r>
      <w:r w:rsidRPr="005554EF">
        <w:rPr>
          <w:rFonts w:hint="eastAsia"/>
          <w:color w:val="000000" w:themeColor="text1"/>
          <w:u w:val="single"/>
        </w:rPr>
        <w:t>自立生活支持服務</w:t>
      </w:r>
      <w:r w:rsidRPr="005554EF">
        <w:rPr>
          <w:rFonts w:hint="eastAsia"/>
          <w:color w:val="000000" w:themeColor="text1"/>
        </w:rPr>
        <w:t>。十、其他有關身心障礙者個人照顧之服務。」</w:t>
      </w:r>
      <w:proofErr w:type="gramStart"/>
      <w:r w:rsidRPr="005554EF">
        <w:rPr>
          <w:rFonts w:hint="eastAsia"/>
          <w:color w:val="000000" w:themeColor="text1"/>
        </w:rPr>
        <w:t>身權法</w:t>
      </w:r>
      <w:proofErr w:type="gramEnd"/>
      <w:r w:rsidRPr="005554EF">
        <w:rPr>
          <w:rFonts w:hint="eastAsia"/>
          <w:color w:val="000000" w:themeColor="text1"/>
        </w:rPr>
        <w:t>96年6月5日</w:t>
      </w:r>
      <w:proofErr w:type="gramStart"/>
      <w:r w:rsidRPr="005554EF">
        <w:rPr>
          <w:rFonts w:hint="eastAsia"/>
          <w:color w:val="000000" w:themeColor="text1"/>
        </w:rPr>
        <w:t>修訂身權法</w:t>
      </w:r>
      <w:proofErr w:type="gramEnd"/>
      <w:r w:rsidRPr="005554EF">
        <w:rPr>
          <w:rFonts w:hint="eastAsia"/>
          <w:color w:val="000000" w:themeColor="text1"/>
        </w:rPr>
        <w:t>第50條規定，直轄市、縣（市）主管機關應依需求評估結果，針對身障者辦理下列服務，以協助身心障礙者獲得所需之個人照顧，第4款社區居住：</w:t>
      </w:r>
      <w:r w:rsidRPr="005554EF">
        <w:rPr>
          <w:rFonts w:hAnsi="標楷體" w:hint="eastAsia"/>
          <w:color w:val="000000" w:themeColor="text1"/>
        </w:rPr>
        <w:t>「</w:t>
      </w:r>
      <w:r w:rsidRPr="005554EF">
        <w:rPr>
          <w:rFonts w:hint="eastAsia"/>
          <w:color w:val="000000" w:themeColor="text1"/>
        </w:rPr>
        <w:t>為提供需要生活支持與協助之身心障礙者多元居住服務型態之選擇，由身心障礙福利機構、團體組成專業服務團隊，以一般社區住宅房舍提供身心障礙者非機構式之居住服務。</w:t>
      </w:r>
      <w:r w:rsidRPr="005554EF">
        <w:rPr>
          <w:rFonts w:hAnsi="標楷體" w:hint="eastAsia"/>
          <w:color w:val="000000" w:themeColor="text1"/>
        </w:rPr>
        <w:t>」</w:t>
      </w:r>
      <w:r w:rsidRPr="005554EF">
        <w:rPr>
          <w:rFonts w:hAnsi="標楷體"/>
          <w:color w:val="000000" w:themeColor="text1"/>
        </w:rPr>
        <w:t>100</w:t>
      </w:r>
      <w:r w:rsidRPr="005554EF">
        <w:rPr>
          <w:rFonts w:hAnsi="標楷體" w:hint="eastAsia"/>
          <w:color w:val="000000" w:themeColor="text1"/>
        </w:rPr>
        <w:t>年</w:t>
      </w:r>
      <w:r w:rsidRPr="005554EF">
        <w:rPr>
          <w:rFonts w:hAnsi="標楷體"/>
          <w:color w:val="000000" w:themeColor="text1"/>
        </w:rPr>
        <w:t>1</w:t>
      </w:r>
      <w:r w:rsidRPr="005554EF">
        <w:rPr>
          <w:rFonts w:hAnsi="標楷體" w:hint="eastAsia"/>
          <w:color w:val="000000" w:themeColor="text1"/>
        </w:rPr>
        <w:t>月</w:t>
      </w:r>
      <w:r w:rsidRPr="005554EF">
        <w:rPr>
          <w:rFonts w:hAnsi="標楷體"/>
          <w:color w:val="000000" w:themeColor="text1"/>
        </w:rPr>
        <w:t>10</w:t>
      </w:r>
      <w:r w:rsidRPr="005554EF">
        <w:rPr>
          <w:rFonts w:hAnsi="標楷體" w:hint="eastAsia"/>
          <w:color w:val="000000" w:themeColor="text1"/>
        </w:rPr>
        <w:t>日增訂第8款自立生活支持服務，其立法理由略</w:t>
      </w:r>
      <w:proofErr w:type="gramStart"/>
      <w:r w:rsidRPr="005554EF">
        <w:rPr>
          <w:rFonts w:hAnsi="標楷體" w:hint="eastAsia"/>
          <w:color w:val="000000" w:themeColor="text1"/>
        </w:rPr>
        <w:t>以</w:t>
      </w:r>
      <w:proofErr w:type="gramEnd"/>
      <w:r w:rsidRPr="005554EF">
        <w:rPr>
          <w:rFonts w:hAnsi="標楷體" w:hint="eastAsia"/>
          <w:color w:val="000000" w:themeColor="text1"/>
        </w:rPr>
        <w:t>：「明定第50條除對身心障礙者身體或心理的照顧外，還要給於其他的支持，促進身心障礙者之能夠社會參與，並且可以依其意願選擇在社區自立生活。</w:t>
      </w:r>
      <w:r w:rsidRPr="005554EF">
        <w:rPr>
          <w:rFonts w:hAnsi="標楷體"/>
          <w:color w:val="000000" w:themeColor="text1"/>
        </w:rPr>
        <w:t>…</w:t>
      </w:r>
      <w:proofErr w:type="gramStart"/>
      <w:r w:rsidRPr="005554EF">
        <w:rPr>
          <w:rFonts w:hAnsi="標楷體"/>
          <w:color w:val="000000" w:themeColor="text1"/>
        </w:rPr>
        <w:t>…</w:t>
      </w:r>
      <w:proofErr w:type="gramEnd"/>
      <w:r w:rsidRPr="005554EF">
        <w:rPr>
          <w:rFonts w:hAnsi="標楷體" w:hint="eastAsia"/>
          <w:color w:val="000000" w:themeColor="text1"/>
        </w:rPr>
        <w:t>自立生活支持服務包含自立生活規劃、個人助理、同儕諮詢、無障礙住宅資訊提供、權益倡導等。」103年5月20日再修訂，將</w:t>
      </w:r>
      <w:proofErr w:type="gramStart"/>
      <w:r w:rsidRPr="005554EF">
        <w:rPr>
          <w:rFonts w:hint="eastAsia"/>
          <w:color w:val="000000" w:themeColor="text1"/>
        </w:rPr>
        <w:t>家庭托顧服務</w:t>
      </w:r>
      <w:proofErr w:type="gramEnd"/>
      <w:r w:rsidRPr="005554EF">
        <w:rPr>
          <w:rFonts w:hint="eastAsia"/>
          <w:color w:val="000000" w:themeColor="text1"/>
        </w:rPr>
        <w:t>之定義為「家庭</w:t>
      </w:r>
      <w:proofErr w:type="gramStart"/>
      <w:r w:rsidRPr="005554EF">
        <w:rPr>
          <w:rFonts w:hint="eastAsia"/>
          <w:color w:val="000000" w:themeColor="text1"/>
        </w:rPr>
        <w:t>托顧係指由依</w:t>
      </w:r>
      <w:proofErr w:type="gramEnd"/>
      <w:r w:rsidRPr="005554EF">
        <w:rPr>
          <w:rFonts w:hint="eastAsia"/>
          <w:color w:val="000000" w:themeColor="text1"/>
        </w:rPr>
        <w:t>受照顧者之意願及能力協助參與社區活動」，與居家照顧、機構式日間照顧及社區式（小型作業設施）照顧同屬針對身心障礙者本人之服務</w:t>
      </w:r>
      <w:r w:rsidRPr="005554EF">
        <w:rPr>
          <w:color w:val="000000" w:themeColor="text1"/>
          <w:vertAlign w:val="superscript"/>
        </w:rPr>
        <w:footnoteReference w:id="11"/>
      </w:r>
      <w:r w:rsidRPr="005554EF">
        <w:rPr>
          <w:rFonts w:hint="eastAsia"/>
          <w:color w:val="000000" w:themeColor="text1"/>
        </w:rPr>
        <w:t>。</w:t>
      </w:r>
    </w:p>
    <w:p w:rsidR="0064315F" w:rsidRPr="005554EF" w:rsidRDefault="0064315F" w:rsidP="001C5555">
      <w:pPr>
        <w:pStyle w:val="4"/>
        <w:rPr>
          <w:color w:val="000000" w:themeColor="text1"/>
        </w:rPr>
      </w:pPr>
      <w:bookmarkStart w:id="47" w:name="_Toc120783843"/>
      <w:r w:rsidRPr="005554EF">
        <w:rPr>
          <w:rFonts w:hint="eastAsia"/>
          <w:b/>
          <w:color w:val="000000" w:themeColor="text1"/>
        </w:rPr>
        <w:t>政府應蒐集統計與研究資料，</w:t>
      </w:r>
      <w:proofErr w:type="gramStart"/>
      <w:r w:rsidRPr="005554EF">
        <w:rPr>
          <w:rFonts w:hint="eastAsia"/>
          <w:b/>
          <w:color w:val="000000" w:themeColor="text1"/>
        </w:rPr>
        <w:t>釐</w:t>
      </w:r>
      <w:proofErr w:type="gramEnd"/>
      <w:r w:rsidRPr="005554EF">
        <w:rPr>
          <w:rFonts w:hint="eastAsia"/>
          <w:b/>
          <w:color w:val="000000" w:themeColor="text1"/>
        </w:rPr>
        <w:t>明身心障礙者於行使其權利時面臨之障礙</w:t>
      </w:r>
      <w:r w:rsidRPr="005554EF">
        <w:rPr>
          <w:rFonts w:hint="eastAsia"/>
          <w:color w:val="000000" w:themeColor="text1"/>
        </w:rPr>
        <w:t>：</w:t>
      </w:r>
      <w:bookmarkEnd w:id="47"/>
      <w:r w:rsidRPr="005554EF">
        <w:rPr>
          <w:rFonts w:hint="eastAsia"/>
          <w:color w:val="000000" w:themeColor="text1"/>
        </w:rPr>
        <w:t>C</w:t>
      </w:r>
      <w:r w:rsidRPr="005554EF">
        <w:rPr>
          <w:color w:val="000000" w:themeColor="text1"/>
        </w:rPr>
        <w:t>RPD</w:t>
      </w:r>
      <w:r w:rsidRPr="005554EF">
        <w:rPr>
          <w:rFonts w:hint="eastAsia"/>
          <w:color w:val="000000" w:themeColor="text1"/>
        </w:rPr>
        <w:t>施行法第4條規定：「各級政府機關行使職權，應符合公約有關身</w:t>
      </w:r>
      <w:r w:rsidRPr="005554EF">
        <w:rPr>
          <w:rFonts w:hint="eastAsia"/>
          <w:color w:val="000000" w:themeColor="text1"/>
        </w:rPr>
        <w:lastRenderedPageBreak/>
        <w:t>心障礙者權利保障之規定，避免侵害身心障礙者權利，保護身心障礙者不受他人侵害，並應積極促進各項身心障礙者權利之實現。」</w:t>
      </w:r>
      <w:r w:rsidRPr="005554EF">
        <w:rPr>
          <w:color w:val="000000" w:themeColor="text1"/>
        </w:rPr>
        <w:t>CRPD</w:t>
      </w:r>
      <w:r w:rsidRPr="005554EF">
        <w:rPr>
          <w:rFonts w:hint="eastAsia"/>
          <w:color w:val="000000" w:themeColor="text1"/>
        </w:rPr>
        <w:t>第31條(統計與資料收集)規定：</w:t>
      </w:r>
      <w:r w:rsidRPr="005554EF">
        <w:rPr>
          <w:rFonts w:hAnsi="標楷體" w:hint="eastAsia"/>
          <w:color w:val="000000" w:themeColor="text1"/>
        </w:rPr>
        <w:t>「</w:t>
      </w:r>
      <w:r w:rsidRPr="005554EF">
        <w:rPr>
          <w:rFonts w:hint="eastAsia"/>
          <w:color w:val="000000" w:themeColor="text1"/>
        </w:rPr>
        <w:t>1.締約國承諾收集適當之資訊，包括統計與研究資料，以利形成與推動實踐本公約之政策。收集與保存該等資訊之過程應：（a）遵行法定防護措施，包括資料保護之立法，確保隱密性與尊重身心障礙者之隱私；（b）遵行保護人權與基本自由之國際公認規範及收集與使用統計資料之倫理原則。2.</w:t>
      </w:r>
      <w:r w:rsidRPr="005554EF">
        <w:rPr>
          <w:rFonts w:hint="eastAsia"/>
          <w:color w:val="000000" w:themeColor="text1"/>
          <w:u w:val="single"/>
        </w:rPr>
        <w:t>依本條所收集之資訊應適當予以分類，用於協助評估本公約所定締約國義務之履行情況，並查明與指出身心障礙者於行使其權利時面臨之障礙</w:t>
      </w:r>
      <w:r w:rsidRPr="005554EF">
        <w:rPr>
          <w:rFonts w:hint="eastAsia"/>
          <w:color w:val="000000" w:themeColor="text1"/>
        </w:rPr>
        <w:t>。3.締約國應負有散播該等統計資料之責任，確保身心障礙者與其他人得以使用該等統計資料。</w:t>
      </w:r>
      <w:r w:rsidRPr="005554EF">
        <w:rPr>
          <w:rFonts w:hAnsi="標楷體" w:hint="eastAsia"/>
          <w:color w:val="000000" w:themeColor="text1"/>
        </w:rPr>
        <w:t>」</w:t>
      </w:r>
      <w:proofErr w:type="gramStart"/>
      <w:r w:rsidRPr="005554EF">
        <w:rPr>
          <w:rFonts w:hint="eastAsia"/>
          <w:color w:val="000000" w:themeColor="text1"/>
        </w:rPr>
        <w:t>身權法</w:t>
      </w:r>
      <w:proofErr w:type="gramEnd"/>
      <w:r w:rsidRPr="005554EF">
        <w:rPr>
          <w:rFonts w:hint="eastAsia"/>
          <w:color w:val="000000" w:themeColor="text1"/>
        </w:rPr>
        <w:t>第11條第1項規定：</w:t>
      </w:r>
      <w:r w:rsidRPr="005554EF">
        <w:rPr>
          <w:rFonts w:hAnsi="標楷體" w:hint="eastAsia"/>
          <w:color w:val="000000" w:themeColor="text1"/>
        </w:rPr>
        <w:t>「</w:t>
      </w:r>
      <w:r w:rsidRPr="005554EF">
        <w:rPr>
          <w:rFonts w:hint="eastAsia"/>
          <w:color w:val="000000" w:themeColor="text1"/>
        </w:rPr>
        <w:t>各級政府應至少每5年舉辦身心障礙者之生活狀況、保健醫療、特殊教育、就業與訓練、交通及福利等需求評估及服務調查研究，並應出版、公布調查研究結果。</w:t>
      </w:r>
      <w:r w:rsidRPr="005554EF">
        <w:rPr>
          <w:rFonts w:hAnsi="標楷體" w:hint="eastAsia"/>
          <w:color w:val="000000" w:themeColor="text1"/>
        </w:rPr>
        <w:t>」</w:t>
      </w:r>
    </w:p>
    <w:p w:rsidR="0064315F" w:rsidRPr="005554EF" w:rsidRDefault="0064315F" w:rsidP="001C5555">
      <w:pPr>
        <w:pStyle w:val="3"/>
        <w:rPr>
          <w:color w:val="000000" w:themeColor="text1"/>
        </w:rPr>
      </w:pPr>
      <w:bookmarkStart w:id="48" w:name="_Toc124325919"/>
      <w:bookmarkStart w:id="49" w:name="_Toc120783844"/>
      <w:r w:rsidRPr="005554EF">
        <w:rPr>
          <w:rFonts w:hint="eastAsia"/>
          <w:b/>
          <w:color w:val="000000" w:themeColor="text1"/>
        </w:rPr>
        <w:t>衛福部指出，近10年0至6歲發展遲緩兒童通報人數，自100年15,848名，成長至110年26,392名，通報人數成長66.5%；教育部統計，各就學階段身心障礙且伴隨情緒行為障礙者，計9,033人(疑似生2,011人)，分占身心障礙者比率為7.1%、18.1%</w:t>
      </w:r>
      <w:r w:rsidRPr="005554EF">
        <w:rPr>
          <w:rFonts w:hint="eastAsia"/>
          <w:color w:val="000000" w:themeColor="text1"/>
        </w:rPr>
        <w:t>：</w:t>
      </w:r>
      <w:bookmarkEnd w:id="48"/>
    </w:p>
    <w:p w:rsidR="0064315F" w:rsidRPr="005554EF" w:rsidRDefault="0064315F" w:rsidP="001C5555">
      <w:pPr>
        <w:pStyle w:val="4"/>
        <w:rPr>
          <w:color w:val="000000" w:themeColor="text1"/>
        </w:rPr>
      </w:pPr>
      <w:proofErr w:type="gramStart"/>
      <w:r w:rsidRPr="005554EF">
        <w:rPr>
          <w:rFonts w:hint="eastAsia"/>
          <w:color w:val="000000" w:themeColor="text1"/>
        </w:rPr>
        <w:t>衛福部查復</w:t>
      </w:r>
      <w:proofErr w:type="gramEnd"/>
      <w:r w:rsidRPr="005554EF">
        <w:rPr>
          <w:rFonts w:hint="eastAsia"/>
          <w:color w:val="000000" w:themeColor="text1"/>
        </w:rPr>
        <w:t>表示：近10年0至6歲發展遲緩兒童通報人數，自100年15,848名，成長至110年26,392名，通報人數成長66.5%。各通報來源占比，社福機構（包含通報個管中心、社區療育據點、安置教養機構、身障機構及社福中心等）通報比率從15.19%成長至19.97%、幼教機構通報從7.02%成</w:t>
      </w:r>
      <w:r w:rsidRPr="005554EF">
        <w:rPr>
          <w:rFonts w:hint="eastAsia"/>
          <w:color w:val="000000" w:themeColor="text1"/>
        </w:rPr>
        <w:lastRenderedPageBreak/>
        <w:t>長至19.07%。</w:t>
      </w:r>
    </w:p>
    <w:p w:rsidR="0064315F" w:rsidRPr="005554EF" w:rsidRDefault="0064315F" w:rsidP="00A54C8A">
      <w:pPr>
        <w:pStyle w:val="4"/>
        <w:rPr>
          <w:color w:val="000000" w:themeColor="text1"/>
        </w:rPr>
      </w:pPr>
      <w:r w:rsidRPr="005554EF">
        <w:rPr>
          <w:rFonts w:hint="eastAsia"/>
          <w:color w:val="000000" w:themeColor="text1"/>
        </w:rPr>
        <w:t>教育部就各學習階段之身心障礙學生計12萬7</w:t>
      </w:r>
      <w:r w:rsidRPr="005554EF">
        <w:rPr>
          <w:color w:val="000000" w:themeColor="text1"/>
        </w:rPr>
        <w:t>,</w:t>
      </w:r>
      <w:r w:rsidRPr="005554EF">
        <w:rPr>
          <w:rFonts w:hint="eastAsia"/>
          <w:color w:val="000000" w:themeColor="text1"/>
        </w:rPr>
        <w:t>191人(疑似生11</w:t>
      </w:r>
      <w:r w:rsidRPr="005554EF">
        <w:rPr>
          <w:color w:val="000000" w:themeColor="text1"/>
        </w:rPr>
        <w:t>,</w:t>
      </w:r>
      <w:r w:rsidRPr="005554EF">
        <w:rPr>
          <w:rFonts w:hint="eastAsia"/>
          <w:color w:val="000000" w:themeColor="text1"/>
        </w:rPr>
        <w:t>074人)，身心障礙且伴隨情緒行為障礙者，計9</w:t>
      </w:r>
      <w:r w:rsidRPr="005554EF">
        <w:rPr>
          <w:color w:val="000000" w:themeColor="text1"/>
        </w:rPr>
        <w:t>,033</w:t>
      </w:r>
      <w:r w:rsidRPr="005554EF">
        <w:rPr>
          <w:rFonts w:hint="eastAsia"/>
          <w:color w:val="000000" w:themeColor="text1"/>
        </w:rPr>
        <w:t>人(疑似生</w:t>
      </w:r>
      <w:r w:rsidRPr="005554EF">
        <w:rPr>
          <w:color w:val="000000" w:themeColor="text1"/>
        </w:rPr>
        <w:t>2,011</w:t>
      </w:r>
      <w:r w:rsidRPr="005554EF">
        <w:rPr>
          <w:rFonts w:hint="eastAsia"/>
          <w:color w:val="000000" w:themeColor="text1"/>
        </w:rPr>
        <w:t>人)，分占身心障礙者比率為7.1</w:t>
      </w:r>
      <w:r w:rsidRPr="005554EF">
        <w:rPr>
          <w:rFonts w:hAnsi="標楷體" w:hint="eastAsia"/>
          <w:color w:val="000000" w:themeColor="text1"/>
        </w:rPr>
        <w:t>%</w:t>
      </w:r>
      <w:r w:rsidRPr="005554EF">
        <w:rPr>
          <w:rFonts w:hint="eastAsia"/>
          <w:color w:val="000000" w:themeColor="text1"/>
        </w:rPr>
        <w:t>、18.1</w:t>
      </w:r>
      <w:r w:rsidRPr="005554EF">
        <w:rPr>
          <w:rFonts w:hAnsi="標楷體" w:hint="eastAsia"/>
          <w:color w:val="000000" w:themeColor="text1"/>
        </w:rPr>
        <w:t>%</w:t>
      </w:r>
      <w:r w:rsidRPr="005554EF">
        <w:rPr>
          <w:rFonts w:hint="eastAsia"/>
          <w:color w:val="000000" w:themeColor="text1"/>
        </w:rPr>
        <w:t>，詳如下表所示。</w:t>
      </w:r>
    </w:p>
    <w:p w:rsidR="00617D1E" w:rsidRPr="005554EF" w:rsidRDefault="00617D1E" w:rsidP="00617D1E">
      <w:pPr>
        <w:keepNext/>
        <w:kinsoku w:val="0"/>
        <w:adjustRightInd w:val="0"/>
        <w:snapToGrid w:val="0"/>
        <w:spacing w:before="240" w:after="40" w:line="360" w:lineRule="exact"/>
        <w:ind w:left="697" w:hanging="697"/>
        <w:jc w:val="center"/>
        <w:textAlignment w:val="baseline"/>
        <w:rPr>
          <w:rFonts w:hAnsi="華康楷書體W5(P)"/>
          <w:b/>
          <w:bCs/>
          <w:color w:val="000000" w:themeColor="text1"/>
          <w:spacing w:val="-10"/>
          <w:kern w:val="28"/>
          <w:sz w:val="28"/>
          <w:szCs w:val="28"/>
        </w:rPr>
      </w:pPr>
      <w:r w:rsidRPr="005554EF">
        <w:rPr>
          <w:rFonts w:hAnsi="華康楷書體W5(P)" w:hint="eastAsia"/>
          <w:b/>
          <w:bCs/>
          <w:color w:val="000000" w:themeColor="text1"/>
          <w:spacing w:val="-10"/>
          <w:kern w:val="28"/>
          <w:sz w:val="28"/>
          <w:szCs w:val="28"/>
        </w:rPr>
        <w:t>表1 各學習階段之身心障礙學生伴隨情緒行為障礙情形</w:t>
      </w:r>
    </w:p>
    <w:tbl>
      <w:tblPr>
        <w:tblStyle w:val="af7"/>
        <w:tblW w:w="0" w:type="auto"/>
        <w:tblLook w:val="04A0" w:firstRow="1" w:lastRow="0" w:firstColumn="1" w:lastColumn="0" w:noHBand="0" w:noVBand="1"/>
      </w:tblPr>
      <w:tblGrid>
        <w:gridCol w:w="1274"/>
        <w:gridCol w:w="1129"/>
        <w:gridCol w:w="1703"/>
        <w:gridCol w:w="989"/>
        <w:gridCol w:w="999"/>
        <w:gridCol w:w="1698"/>
        <w:gridCol w:w="1042"/>
      </w:tblGrid>
      <w:tr w:rsidR="00617D1E" w:rsidRPr="005554EF" w:rsidTr="00A90716">
        <w:tc>
          <w:tcPr>
            <w:tcW w:w="1274" w:type="dxa"/>
            <w:vMerge w:val="restart"/>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學習</w:t>
            </w:r>
          </w:p>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階段</w:t>
            </w:r>
          </w:p>
        </w:tc>
        <w:tc>
          <w:tcPr>
            <w:tcW w:w="3821" w:type="dxa"/>
            <w:gridSpan w:val="3"/>
            <w:shd w:val="clear" w:color="auto" w:fill="F2F2F2" w:themeFill="background1" w:themeFillShade="F2"/>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hint="eastAsia"/>
                <w:color w:val="000000" w:themeColor="text1"/>
                <w:spacing w:val="-20"/>
                <w:kern w:val="32"/>
                <w:sz w:val="28"/>
                <w:szCs w:val="28"/>
              </w:rPr>
              <w:t>確認生</w:t>
            </w:r>
          </w:p>
        </w:tc>
        <w:tc>
          <w:tcPr>
            <w:tcW w:w="3739" w:type="dxa"/>
            <w:gridSpan w:val="3"/>
            <w:shd w:val="clear" w:color="auto" w:fill="F2F2F2" w:themeFill="background1" w:themeFillShade="F2"/>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hint="eastAsia"/>
                <w:color w:val="000000" w:themeColor="text1"/>
                <w:spacing w:val="-20"/>
                <w:kern w:val="32"/>
                <w:sz w:val="28"/>
                <w:szCs w:val="28"/>
              </w:rPr>
              <w:t>疑似生</w:t>
            </w:r>
          </w:p>
        </w:tc>
      </w:tr>
      <w:tr w:rsidR="00617D1E" w:rsidRPr="005554EF" w:rsidTr="00A90716">
        <w:tc>
          <w:tcPr>
            <w:tcW w:w="1274" w:type="dxa"/>
            <w:vMerge/>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p>
        </w:tc>
        <w:tc>
          <w:tcPr>
            <w:tcW w:w="1129" w:type="dxa"/>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人數</w:t>
            </w:r>
          </w:p>
        </w:tc>
        <w:tc>
          <w:tcPr>
            <w:tcW w:w="1703" w:type="dxa"/>
            <w:shd w:val="clear" w:color="auto" w:fill="F2F2F2" w:themeFill="background1" w:themeFillShade="F2"/>
            <w:vAlign w:val="center"/>
          </w:tcPr>
          <w:p w:rsidR="00617D1E" w:rsidRPr="005554EF" w:rsidRDefault="00617D1E" w:rsidP="00617D1E">
            <w:pPr>
              <w:jc w:val="center"/>
              <w:rPr>
                <w:rFonts w:hAnsi="標楷體"/>
                <w:color w:val="000000" w:themeColor="text1"/>
                <w:spacing w:val="-20"/>
                <w:sz w:val="28"/>
                <w:szCs w:val="28"/>
              </w:rPr>
            </w:pPr>
            <w:r w:rsidRPr="005554EF">
              <w:rPr>
                <w:rFonts w:hAnsi="標楷體" w:hint="eastAsia"/>
                <w:color w:val="000000" w:themeColor="text1"/>
                <w:spacing w:val="-20"/>
                <w:sz w:val="28"/>
                <w:szCs w:val="28"/>
              </w:rPr>
              <w:t>身心障礙且伴隨情緒行為障礙</w:t>
            </w:r>
          </w:p>
        </w:tc>
        <w:tc>
          <w:tcPr>
            <w:tcW w:w="989" w:type="dxa"/>
            <w:shd w:val="clear" w:color="auto" w:fill="F2F2F2" w:themeFill="background1" w:themeFillShade="F2"/>
            <w:vAlign w:val="center"/>
          </w:tcPr>
          <w:p w:rsidR="00617D1E" w:rsidRPr="005554EF" w:rsidRDefault="00617D1E" w:rsidP="00617D1E">
            <w:pPr>
              <w:jc w:val="center"/>
              <w:rPr>
                <w:rFonts w:hAnsi="標楷體"/>
                <w:color w:val="000000" w:themeColor="text1"/>
                <w:spacing w:val="-20"/>
                <w:sz w:val="28"/>
                <w:szCs w:val="28"/>
              </w:rPr>
            </w:pPr>
            <w:r w:rsidRPr="005554EF">
              <w:rPr>
                <w:rFonts w:hAnsi="標楷體" w:hint="eastAsia"/>
                <w:color w:val="000000" w:themeColor="text1"/>
                <w:spacing w:val="-20"/>
                <w:sz w:val="28"/>
                <w:szCs w:val="28"/>
              </w:rPr>
              <w:t>情緒</w:t>
            </w:r>
          </w:p>
          <w:p w:rsidR="00617D1E" w:rsidRPr="005554EF" w:rsidRDefault="00617D1E" w:rsidP="00617D1E">
            <w:pPr>
              <w:jc w:val="center"/>
              <w:rPr>
                <w:rFonts w:hAnsi="標楷體"/>
                <w:color w:val="000000" w:themeColor="text1"/>
                <w:spacing w:val="-20"/>
                <w:sz w:val="28"/>
                <w:szCs w:val="28"/>
              </w:rPr>
            </w:pPr>
            <w:r w:rsidRPr="005554EF">
              <w:rPr>
                <w:rFonts w:hAnsi="標楷體" w:hint="eastAsia"/>
                <w:color w:val="000000" w:themeColor="text1"/>
                <w:spacing w:val="-20"/>
                <w:sz w:val="28"/>
                <w:szCs w:val="28"/>
              </w:rPr>
              <w:t>行為</w:t>
            </w:r>
          </w:p>
          <w:p w:rsidR="00617D1E" w:rsidRPr="005554EF" w:rsidRDefault="00617D1E" w:rsidP="00617D1E">
            <w:pPr>
              <w:jc w:val="center"/>
              <w:rPr>
                <w:color w:val="000000" w:themeColor="text1"/>
                <w:spacing w:val="-20"/>
                <w:sz w:val="28"/>
                <w:szCs w:val="28"/>
              </w:rPr>
            </w:pPr>
            <w:r w:rsidRPr="005554EF">
              <w:rPr>
                <w:rFonts w:hAnsi="標楷體" w:hint="eastAsia"/>
                <w:color w:val="000000" w:themeColor="text1"/>
                <w:spacing w:val="-20"/>
                <w:sz w:val="28"/>
                <w:szCs w:val="28"/>
              </w:rPr>
              <w:t>障礙</w:t>
            </w:r>
          </w:p>
        </w:tc>
        <w:tc>
          <w:tcPr>
            <w:tcW w:w="999" w:type="dxa"/>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hint="eastAsia"/>
                <w:color w:val="000000" w:themeColor="text1"/>
                <w:spacing w:val="-20"/>
                <w:kern w:val="32"/>
                <w:sz w:val="28"/>
                <w:szCs w:val="28"/>
              </w:rPr>
              <w:t>人數</w:t>
            </w:r>
          </w:p>
        </w:tc>
        <w:tc>
          <w:tcPr>
            <w:tcW w:w="1698" w:type="dxa"/>
            <w:shd w:val="clear" w:color="auto" w:fill="F2F2F2" w:themeFill="background1" w:themeFillShade="F2"/>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身心障礙且伴隨情緒行為障礙</w:t>
            </w:r>
          </w:p>
        </w:tc>
        <w:tc>
          <w:tcPr>
            <w:tcW w:w="1042" w:type="dxa"/>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情緒</w:t>
            </w:r>
          </w:p>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行為</w:t>
            </w:r>
          </w:p>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障礙</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學前</w:t>
            </w:r>
          </w:p>
        </w:tc>
        <w:tc>
          <w:tcPr>
            <w:tcW w:w="1129"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color w:val="000000" w:themeColor="text1"/>
                <w:spacing w:val="-20"/>
                <w:kern w:val="32"/>
                <w:sz w:val="28"/>
                <w:szCs w:val="28"/>
              </w:rPr>
              <w:t>26,020</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594</w:t>
            </w:r>
          </w:p>
        </w:tc>
        <w:tc>
          <w:tcPr>
            <w:tcW w:w="989"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94</w:t>
            </w:r>
          </w:p>
        </w:tc>
        <w:tc>
          <w:tcPr>
            <w:tcW w:w="999"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color w:val="000000" w:themeColor="text1"/>
                <w:spacing w:val="-20"/>
                <w:kern w:val="32"/>
                <w:sz w:val="28"/>
                <w:szCs w:val="28"/>
              </w:rPr>
              <w:t>1,062</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22</w:t>
            </w:r>
          </w:p>
        </w:tc>
        <w:tc>
          <w:tcPr>
            <w:tcW w:w="1042"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45</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國小</w:t>
            </w:r>
          </w:p>
        </w:tc>
        <w:tc>
          <w:tcPr>
            <w:tcW w:w="112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49,515</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38</w:t>
            </w:r>
          </w:p>
        </w:tc>
        <w:tc>
          <w:tcPr>
            <w:tcW w:w="98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4</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179</w:t>
            </w:r>
          </w:p>
        </w:tc>
        <w:tc>
          <w:tcPr>
            <w:tcW w:w="99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7,743</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9</w:t>
            </w:r>
          </w:p>
        </w:tc>
        <w:tc>
          <w:tcPr>
            <w:tcW w:w="1042"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1</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405</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國中</w:t>
            </w:r>
          </w:p>
        </w:tc>
        <w:tc>
          <w:tcPr>
            <w:tcW w:w="112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27,715</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125</w:t>
            </w:r>
          </w:p>
        </w:tc>
        <w:tc>
          <w:tcPr>
            <w:tcW w:w="98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2</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161</w:t>
            </w:r>
          </w:p>
        </w:tc>
        <w:tc>
          <w:tcPr>
            <w:tcW w:w="99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1,605</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14</w:t>
            </w:r>
          </w:p>
        </w:tc>
        <w:tc>
          <w:tcPr>
            <w:tcW w:w="1042"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354</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高中(職)</w:t>
            </w:r>
          </w:p>
        </w:tc>
        <w:tc>
          <w:tcPr>
            <w:tcW w:w="112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23,941</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107</w:t>
            </w:r>
          </w:p>
        </w:tc>
        <w:tc>
          <w:tcPr>
            <w:tcW w:w="98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1</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735</w:t>
            </w:r>
          </w:p>
        </w:tc>
        <w:tc>
          <w:tcPr>
            <w:tcW w:w="99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664</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w:t>
            </w:r>
          </w:p>
        </w:tc>
        <w:tc>
          <w:tcPr>
            <w:tcW w:w="1042"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161</w:t>
            </w:r>
          </w:p>
        </w:tc>
      </w:tr>
      <w:tr w:rsidR="00617D1E" w:rsidRPr="005554EF" w:rsidTr="00A90716">
        <w:tc>
          <w:tcPr>
            <w:tcW w:w="1274" w:type="dxa"/>
            <w:vMerge w:val="restart"/>
            <w:vAlign w:val="center"/>
          </w:tcPr>
          <w:p w:rsidR="00617D1E" w:rsidRPr="005554EF" w:rsidRDefault="00617D1E" w:rsidP="00617D1E">
            <w:pPr>
              <w:jc w:val="center"/>
              <w:outlineLvl w:val="3"/>
              <w:rPr>
                <w:rFonts w:hAnsi="Arial"/>
                <w:b/>
                <w:color w:val="000000" w:themeColor="text1"/>
                <w:spacing w:val="-20"/>
                <w:kern w:val="32"/>
                <w:sz w:val="28"/>
                <w:szCs w:val="28"/>
              </w:rPr>
            </w:pPr>
            <w:r w:rsidRPr="005554EF">
              <w:rPr>
                <w:rFonts w:hAnsi="Arial" w:hint="eastAsia"/>
                <w:b/>
                <w:color w:val="000000" w:themeColor="text1"/>
                <w:spacing w:val="-20"/>
                <w:kern w:val="32"/>
                <w:sz w:val="28"/>
                <w:szCs w:val="28"/>
              </w:rPr>
              <w:t>合計</w:t>
            </w:r>
          </w:p>
        </w:tc>
        <w:tc>
          <w:tcPr>
            <w:tcW w:w="1129" w:type="dxa"/>
            <w:vMerge w:val="restart"/>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Arial" w:hint="eastAsia"/>
                <w:b/>
                <w:color w:val="000000" w:themeColor="text1"/>
                <w:spacing w:val="-20"/>
                <w:kern w:val="32"/>
                <w:sz w:val="28"/>
                <w:szCs w:val="28"/>
              </w:rPr>
              <w:t>127,191</w:t>
            </w:r>
          </w:p>
        </w:tc>
        <w:tc>
          <w:tcPr>
            <w:tcW w:w="1703" w:type="dxa"/>
            <w:vAlign w:val="center"/>
          </w:tcPr>
          <w:p w:rsidR="00617D1E" w:rsidRPr="005554EF" w:rsidRDefault="00617D1E" w:rsidP="00617D1E">
            <w:pPr>
              <w:jc w:val="center"/>
              <w:outlineLvl w:val="3"/>
              <w:rPr>
                <w:rFonts w:hAnsi="Arial"/>
                <w:b/>
                <w:color w:val="000000" w:themeColor="text1"/>
                <w:spacing w:val="-20"/>
                <w:kern w:val="32"/>
                <w:sz w:val="28"/>
                <w:szCs w:val="28"/>
              </w:rPr>
            </w:pPr>
            <w:r w:rsidRPr="005554EF">
              <w:rPr>
                <w:rFonts w:hAnsi="Arial" w:hint="eastAsia"/>
                <w:b/>
                <w:color w:val="000000" w:themeColor="text1"/>
                <w:spacing w:val="-20"/>
                <w:kern w:val="32"/>
                <w:sz w:val="28"/>
                <w:szCs w:val="28"/>
              </w:rPr>
              <w:t>864</w:t>
            </w:r>
          </w:p>
        </w:tc>
        <w:tc>
          <w:tcPr>
            <w:tcW w:w="989" w:type="dxa"/>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8</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169</w:t>
            </w:r>
          </w:p>
        </w:tc>
        <w:tc>
          <w:tcPr>
            <w:tcW w:w="999" w:type="dxa"/>
            <w:vMerge w:val="restart"/>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Arial" w:hint="eastAsia"/>
                <w:b/>
                <w:color w:val="000000" w:themeColor="text1"/>
                <w:spacing w:val="-20"/>
                <w:kern w:val="32"/>
                <w:sz w:val="28"/>
                <w:szCs w:val="28"/>
              </w:rPr>
              <w:t>11,074</w:t>
            </w:r>
          </w:p>
        </w:tc>
        <w:tc>
          <w:tcPr>
            <w:tcW w:w="1698" w:type="dxa"/>
            <w:vAlign w:val="center"/>
          </w:tcPr>
          <w:p w:rsidR="00617D1E" w:rsidRPr="005554EF" w:rsidRDefault="00617D1E" w:rsidP="00617D1E">
            <w:pPr>
              <w:jc w:val="center"/>
              <w:outlineLvl w:val="3"/>
              <w:rPr>
                <w:rFonts w:hAnsi="Arial"/>
                <w:b/>
                <w:color w:val="000000" w:themeColor="text1"/>
                <w:spacing w:val="-20"/>
                <w:kern w:val="32"/>
                <w:sz w:val="28"/>
                <w:szCs w:val="28"/>
              </w:rPr>
            </w:pPr>
            <w:r w:rsidRPr="005554EF">
              <w:rPr>
                <w:rFonts w:hAnsi="Arial" w:hint="eastAsia"/>
                <w:b/>
                <w:color w:val="000000" w:themeColor="text1"/>
                <w:spacing w:val="-20"/>
                <w:kern w:val="32"/>
                <w:sz w:val="28"/>
                <w:szCs w:val="28"/>
              </w:rPr>
              <w:t>46</w:t>
            </w:r>
          </w:p>
        </w:tc>
        <w:tc>
          <w:tcPr>
            <w:tcW w:w="1042" w:type="dxa"/>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1</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965</w:t>
            </w:r>
          </w:p>
        </w:tc>
      </w:tr>
      <w:tr w:rsidR="00617D1E" w:rsidRPr="005554EF" w:rsidTr="00A90716">
        <w:tc>
          <w:tcPr>
            <w:tcW w:w="1274" w:type="dxa"/>
            <w:vMerge/>
          </w:tcPr>
          <w:p w:rsidR="00617D1E" w:rsidRPr="005554EF" w:rsidRDefault="00617D1E" w:rsidP="00617D1E">
            <w:pPr>
              <w:outlineLvl w:val="3"/>
              <w:rPr>
                <w:rFonts w:hAnsi="Arial"/>
                <w:b/>
                <w:color w:val="000000" w:themeColor="text1"/>
                <w:spacing w:val="-20"/>
                <w:kern w:val="32"/>
                <w:sz w:val="28"/>
                <w:szCs w:val="28"/>
              </w:rPr>
            </w:pPr>
          </w:p>
        </w:tc>
        <w:tc>
          <w:tcPr>
            <w:tcW w:w="1129" w:type="dxa"/>
            <w:vMerge/>
            <w:shd w:val="clear" w:color="auto" w:fill="auto"/>
            <w:vAlign w:val="center"/>
          </w:tcPr>
          <w:p w:rsidR="00617D1E" w:rsidRPr="005554EF" w:rsidRDefault="00617D1E" w:rsidP="00617D1E">
            <w:pPr>
              <w:jc w:val="center"/>
              <w:outlineLvl w:val="3"/>
              <w:rPr>
                <w:rFonts w:hAnsi="Arial"/>
                <w:b/>
                <w:color w:val="000000" w:themeColor="text1"/>
                <w:spacing w:val="-20"/>
                <w:kern w:val="32"/>
                <w:sz w:val="28"/>
                <w:szCs w:val="28"/>
              </w:rPr>
            </w:pPr>
          </w:p>
        </w:tc>
        <w:tc>
          <w:tcPr>
            <w:tcW w:w="2692" w:type="dxa"/>
            <w:gridSpan w:val="2"/>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9</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033</w:t>
            </w:r>
          </w:p>
        </w:tc>
        <w:tc>
          <w:tcPr>
            <w:tcW w:w="999" w:type="dxa"/>
            <w:vMerge/>
            <w:shd w:val="clear" w:color="auto" w:fill="auto"/>
            <w:vAlign w:val="center"/>
          </w:tcPr>
          <w:p w:rsidR="00617D1E" w:rsidRPr="005554EF" w:rsidRDefault="00617D1E" w:rsidP="00617D1E">
            <w:pPr>
              <w:jc w:val="center"/>
              <w:outlineLvl w:val="3"/>
              <w:rPr>
                <w:rFonts w:hAnsi="Arial"/>
                <w:b/>
                <w:color w:val="000000" w:themeColor="text1"/>
                <w:spacing w:val="-20"/>
                <w:kern w:val="32"/>
                <w:sz w:val="28"/>
                <w:szCs w:val="28"/>
              </w:rPr>
            </w:pPr>
          </w:p>
        </w:tc>
        <w:tc>
          <w:tcPr>
            <w:tcW w:w="2740" w:type="dxa"/>
            <w:gridSpan w:val="2"/>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2</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011</w:t>
            </w:r>
          </w:p>
        </w:tc>
      </w:tr>
    </w:tbl>
    <w:p w:rsidR="00617D1E" w:rsidRPr="005554EF" w:rsidRDefault="00617D1E" w:rsidP="00617D1E">
      <w:pPr>
        <w:spacing w:line="360" w:lineRule="exact"/>
        <w:outlineLvl w:val="3"/>
        <w:rPr>
          <w:rFonts w:hAnsi="Arial"/>
          <w:color w:val="000000" w:themeColor="text1"/>
          <w:kern w:val="32"/>
          <w:sz w:val="28"/>
          <w:szCs w:val="36"/>
        </w:rPr>
      </w:pPr>
      <w:proofErr w:type="gramStart"/>
      <w:r w:rsidRPr="005554EF">
        <w:rPr>
          <w:rFonts w:hAnsi="Arial" w:hint="eastAsia"/>
          <w:color w:val="000000" w:themeColor="text1"/>
          <w:kern w:val="32"/>
          <w:sz w:val="28"/>
          <w:szCs w:val="36"/>
        </w:rPr>
        <w:t>註</w:t>
      </w:r>
      <w:proofErr w:type="gramEnd"/>
      <w:r w:rsidRPr="005554EF">
        <w:rPr>
          <w:rFonts w:hAnsi="Arial" w:hint="eastAsia"/>
          <w:color w:val="000000" w:themeColor="text1"/>
          <w:kern w:val="32"/>
          <w:sz w:val="28"/>
          <w:szCs w:val="36"/>
        </w:rPr>
        <w:t>：</w:t>
      </w:r>
    </w:p>
    <w:p w:rsidR="00617D1E" w:rsidRPr="005554EF" w:rsidRDefault="00617D1E" w:rsidP="00A54C8A">
      <w:pPr>
        <w:numPr>
          <w:ilvl w:val="0"/>
          <w:numId w:val="12"/>
        </w:numPr>
        <w:spacing w:line="360" w:lineRule="exact"/>
        <w:ind w:left="360"/>
        <w:outlineLvl w:val="3"/>
        <w:rPr>
          <w:rFonts w:hAnsi="Arial"/>
          <w:color w:val="000000" w:themeColor="text1"/>
          <w:kern w:val="32"/>
          <w:sz w:val="28"/>
          <w:szCs w:val="36"/>
        </w:rPr>
      </w:pPr>
      <w:r w:rsidRPr="005554EF">
        <w:rPr>
          <w:rFonts w:hAnsi="Arial" w:hint="eastAsia"/>
          <w:color w:val="000000" w:themeColor="text1"/>
          <w:kern w:val="32"/>
          <w:sz w:val="28"/>
          <w:szCs w:val="36"/>
        </w:rPr>
        <w:t>資料來源：依據教育部查復資料</w:t>
      </w:r>
      <w:proofErr w:type="gramStart"/>
      <w:r w:rsidRPr="005554EF">
        <w:rPr>
          <w:rFonts w:hAnsi="Arial" w:hint="eastAsia"/>
          <w:color w:val="000000" w:themeColor="text1"/>
          <w:kern w:val="32"/>
          <w:sz w:val="28"/>
          <w:szCs w:val="36"/>
        </w:rPr>
        <w:t>彙整製表</w:t>
      </w:r>
      <w:proofErr w:type="gramEnd"/>
      <w:r w:rsidRPr="005554EF">
        <w:rPr>
          <w:rFonts w:hAnsi="Arial" w:hint="eastAsia"/>
          <w:color w:val="000000" w:themeColor="text1"/>
          <w:kern w:val="32"/>
          <w:sz w:val="28"/>
          <w:szCs w:val="36"/>
        </w:rPr>
        <w:t>(截至111年5月底止)。</w:t>
      </w:r>
    </w:p>
    <w:p w:rsidR="00617D1E" w:rsidRPr="005554EF" w:rsidRDefault="00617D1E" w:rsidP="00A54C8A">
      <w:pPr>
        <w:numPr>
          <w:ilvl w:val="0"/>
          <w:numId w:val="12"/>
        </w:numPr>
        <w:spacing w:line="360" w:lineRule="exact"/>
        <w:ind w:left="360"/>
        <w:outlineLvl w:val="3"/>
        <w:rPr>
          <w:rFonts w:hAnsi="Arial"/>
          <w:color w:val="000000" w:themeColor="text1"/>
          <w:kern w:val="32"/>
          <w:sz w:val="28"/>
          <w:szCs w:val="36"/>
        </w:rPr>
      </w:pPr>
      <w:r w:rsidRPr="005554EF">
        <w:rPr>
          <w:rFonts w:hAnsi="Arial" w:hint="eastAsia"/>
          <w:color w:val="000000" w:themeColor="text1"/>
          <w:kern w:val="32"/>
          <w:sz w:val="28"/>
          <w:szCs w:val="36"/>
        </w:rPr>
        <w:t>依教育部函復，109學年度國小</w:t>
      </w:r>
      <w:r w:rsidRPr="005554EF">
        <w:rPr>
          <w:rFonts w:hAnsi="Arial" w:hint="eastAsia"/>
          <w:color w:val="000000" w:themeColor="text1"/>
          <w:kern w:val="32"/>
          <w:sz w:val="28"/>
          <w:szCs w:val="36"/>
        </w:rPr>
        <w:tab/>
        <w:t>、國中及</w:t>
      </w:r>
      <w:r w:rsidRPr="005554EF">
        <w:rPr>
          <w:rFonts w:hAnsi="Arial" w:hint="eastAsia"/>
          <w:color w:val="000000" w:themeColor="text1"/>
          <w:kern w:val="32"/>
          <w:sz w:val="28"/>
          <w:szCs w:val="36"/>
        </w:rPr>
        <w:tab/>
        <w:t>高中身心障礙學生人數共計92,918人，情緒行為障礙學生人數6,821人，占7.34%。110學年度國小</w:t>
      </w:r>
      <w:r w:rsidRPr="005554EF">
        <w:rPr>
          <w:rFonts w:hAnsi="Arial" w:hint="eastAsia"/>
          <w:color w:val="000000" w:themeColor="text1"/>
          <w:kern w:val="32"/>
          <w:sz w:val="28"/>
          <w:szCs w:val="36"/>
        </w:rPr>
        <w:tab/>
        <w:t>、國中及</w:t>
      </w:r>
      <w:r w:rsidRPr="005554EF">
        <w:rPr>
          <w:rFonts w:hAnsi="Arial" w:hint="eastAsia"/>
          <w:color w:val="000000" w:themeColor="text1"/>
          <w:kern w:val="32"/>
          <w:sz w:val="28"/>
          <w:szCs w:val="36"/>
        </w:rPr>
        <w:tab/>
        <w:t>高中身心障礙學生人數共計92,638人，情緒行為障礙學生人數6,979人，占7.53%。(詳見本院派查字號</w:t>
      </w:r>
      <w:r w:rsidRPr="005554EF">
        <w:rPr>
          <w:rFonts w:hAnsi="Arial"/>
          <w:color w:val="000000" w:themeColor="text1"/>
          <w:kern w:val="32"/>
          <w:sz w:val="28"/>
          <w:szCs w:val="36"/>
        </w:rPr>
        <w:t>1110831198</w:t>
      </w:r>
      <w:r w:rsidRPr="005554EF">
        <w:rPr>
          <w:rFonts w:hAnsi="Arial" w:hint="eastAsia"/>
          <w:color w:val="000000" w:themeColor="text1"/>
          <w:kern w:val="32"/>
          <w:sz w:val="28"/>
          <w:szCs w:val="36"/>
        </w:rPr>
        <w:t>號調查報告)，與本表數據有些許差異。</w:t>
      </w:r>
    </w:p>
    <w:p w:rsidR="00617D1E" w:rsidRPr="005554EF" w:rsidRDefault="00617D1E" w:rsidP="00617D1E">
      <w:pPr>
        <w:pStyle w:val="3"/>
        <w:numPr>
          <w:ilvl w:val="0"/>
          <w:numId w:val="0"/>
        </w:numPr>
        <w:rPr>
          <w:color w:val="000000" w:themeColor="text1"/>
        </w:rPr>
      </w:pPr>
      <w:bookmarkStart w:id="50" w:name="_Toc124325920"/>
    </w:p>
    <w:p w:rsidR="0064315F" w:rsidRPr="005554EF" w:rsidRDefault="0064315F" w:rsidP="00A54C8A">
      <w:pPr>
        <w:pStyle w:val="3"/>
        <w:numPr>
          <w:ilvl w:val="2"/>
          <w:numId w:val="14"/>
        </w:numPr>
        <w:rPr>
          <w:color w:val="000000" w:themeColor="text1"/>
        </w:rPr>
      </w:pPr>
      <w:proofErr w:type="gramStart"/>
      <w:r w:rsidRPr="005554EF">
        <w:rPr>
          <w:rFonts w:hint="eastAsia"/>
          <w:b/>
          <w:color w:val="000000" w:themeColor="text1"/>
        </w:rPr>
        <w:t>衛福部為身心</w:t>
      </w:r>
      <w:proofErr w:type="gramEnd"/>
      <w:r w:rsidRPr="005554EF">
        <w:rPr>
          <w:rFonts w:hint="eastAsia"/>
          <w:b/>
          <w:color w:val="000000" w:themeColor="text1"/>
        </w:rPr>
        <w:t>障礙者權益維護之中央主管機關，究嚴重情緒行為問題的障礙者及其家庭有多少？</w:t>
      </w:r>
      <w:proofErr w:type="gramStart"/>
      <w:r w:rsidRPr="005554EF">
        <w:rPr>
          <w:rFonts w:hint="eastAsia"/>
          <w:b/>
          <w:color w:val="000000" w:themeColor="text1"/>
        </w:rPr>
        <w:t>樣態及需求</w:t>
      </w:r>
      <w:proofErr w:type="gramEnd"/>
      <w:r w:rsidRPr="005554EF">
        <w:rPr>
          <w:rFonts w:hint="eastAsia"/>
          <w:b/>
          <w:color w:val="000000" w:themeColor="text1"/>
        </w:rPr>
        <w:t>如何？迄今仍無相關統計數據，經監察院107年提案糾正後仍未改善</w:t>
      </w:r>
      <w:r w:rsidRPr="005554EF">
        <w:rPr>
          <w:rFonts w:hint="eastAsia"/>
          <w:color w:val="000000" w:themeColor="text1"/>
        </w:rPr>
        <w:t>：</w:t>
      </w:r>
      <w:bookmarkEnd w:id="49"/>
      <w:bookmarkEnd w:id="50"/>
    </w:p>
    <w:p w:rsidR="0064315F" w:rsidRPr="005554EF" w:rsidRDefault="0064315F" w:rsidP="001C5555">
      <w:pPr>
        <w:pStyle w:val="4"/>
        <w:rPr>
          <w:color w:val="000000" w:themeColor="text1"/>
        </w:rPr>
      </w:pPr>
      <w:r w:rsidRPr="005554EF">
        <w:rPr>
          <w:rFonts w:hint="eastAsia"/>
          <w:color w:val="000000" w:themeColor="text1"/>
        </w:rPr>
        <w:tab/>
        <w:t>身心障礙者享有居住自由、自立生活與融合社區之權益，認知障礙及情緒行為困擾的障礙者(即第一分類系統障礙，主要指涵蓋智能障礙、自閉</w:t>
      </w:r>
      <w:r w:rsidRPr="005554EF">
        <w:rPr>
          <w:rFonts w:hint="eastAsia"/>
          <w:color w:val="000000" w:themeColor="text1"/>
        </w:rPr>
        <w:lastRenderedPageBreak/>
        <w:t>症、合併智能障礙或自閉症之多重障礙者)，往往伴隨嚴重情緒行為問題者，如自傷、傷人、學校或家庭適應問題(非單純違規之行為問題)，惟其等居家照顧需付出更多照顧心力，在社區自立生活更顯艱難，對於身障者本人、照顧者及其家庭生活造成的負荷及生活品質影響甚</w:t>
      </w:r>
      <w:proofErr w:type="gramStart"/>
      <w:r w:rsidRPr="005554EF">
        <w:rPr>
          <w:rFonts w:hint="eastAsia"/>
          <w:color w:val="000000" w:themeColor="text1"/>
        </w:rPr>
        <w:t>鉅</w:t>
      </w:r>
      <w:proofErr w:type="gramEnd"/>
      <w:r w:rsidRPr="005554EF">
        <w:rPr>
          <w:rFonts w:hint="eastAsia"/>
          <w:color w:val="000000" w:themeColor="text1"/>
        </w:rPr>
        <w:t>。監察院曾於107年提出調查報告</w:t>
      </w:r>
      <w:proofErr w:type="gramStart"/>
      <w:r w:rsidRPr="005554EF">
        <w:rPr>
          <w:rFonts w:hint="eastAsia"/>
          <w:color w:val="000000" w:themeColor="text1"/>
        </w:rPr>
        <w:t>（</w:t>
      </w:r>
      <w:proofErr w:type="gramEnd"/>
      <w:r w:rsidRPr="005554EF">
        <w:rPr>
          <w:rFonts w:hint="eastAsia"/>
          <w:color w:val="000000" w:themeColor="text1"/>
        </w:rPr>
        <w:t>107內政33、107內調84)指出</w:t>
      </w:r>
      <w:r w:rsidRPr="005554EF">
        <w:rPr>
          <w:rFonts w:hAnsi="標楷體" w:hint="eastAsia"/>
          <w:color w:val="000000" w:themeColor="text1"/>
        </w:rPr>
        <w:t>「</w:t>
      </w:r>
      <w:r w:rsidRPr="005554EF">
        <w:rPr>
          <w:rFonts w:hint="eastAsia"/>
          <w:color w:val="000000" w:themeColor="text1"/>
        </w:rPr>
        <w:t>衛福部未能正視自閉症者及其家庭之需求及服務，除未詳實掌握自閉症者在家照顧及機構照顧人數，對於具有嚴重情緒行為之自閉症者及身心障礙者人數，迄無相關統計數據，亦未調查分析其所面臨之困境及風險，難以據此規劃並提供相關服務與資源，致使自閉症者及其家庭獨自承擔照顧困境與負荷，實有未當</w:t>
      </w:r>
      <w:r w:rsidRPr="005554EF">
        <w:rPr>
          <w:rFonts w:hAnsi="標楷體" w:hint="eastAsia"/>
          <w:color w:val="000000" w:themeColor="text1"/>
        </w:rPr>
        <w:t>」</w:t>
      </w:r>
      <w:r w:rsidRPr="005554EF">
        <w:rPr>
          <w:rFonts w:hint="eastAsia"/>
          <w:color w:val="000000" w:themeColor="text1"/>
        </w:rPr>
        <w:t>。截至本案110年10月展開調查迄今，</w:t>
      </w:r>
      <w:proofErr w:type="gramStart"/>
      <w:r w:rsidRPr="005554EF">
        <w:rPr>
          <w:rFonts w:hint="eastAsia"/>
          <w:color w:val="000000" w:themeColor="text1"/>
        </w:rPr>
        <w:t>衛福部仍無</w:t>
      </w:r>
      <w:proofErr w:type="gramEnd"/>
      <w:r w:rsidRPr="005554EF">
        <w:rPr>
          <w:rFonts w:hint="eastAsia"/>
          <w:color w:val="000000" w:themeColor="text1"/>
        </w:rPr>
        <w:t>實際統計數據，</w:t>
      </w:r>
      <w:proofErr w:type="gramStart"/>
      <w:r w:rsidRPr="005554EF">
        <w:rPr>
          <w:rFonts w:hint="eastAsia"/>
          <w:color w:val="000000" w:themeColor="text1"/>
        </w:rPr>
        <w:t>該部查復</w:t>
      </w:r>
      <w:proofErr w:type="gramEnd"/>
      <w:r w:rsidRPr="005554EF">
        <w:rPr>
          <w:rFonts w:hint="eastAsia"/>
          <w:color w:val="000000" w:themeColor="text1"/>
        </w:rPr>
        <w:t>表示：</w:t>
      </w:r>
      <w:r w:rsidRPr="005554EF">
        <w:rPr>
          <w:rFonts w:hAnsi="標楷體" w:hint="eastAsia"/>
          <w:color w:val="000000" w:themeColor="text1"/>
        </w:rPr>
        <w:t>「</w:t>
      </w:r>
      <w:r w:rsidRPr="005554EF">
        <w:rPr>
          <w:rFonts w:hint="eastAsia"/>
          <w:color w:val="000000" w:themeColor="text1"/>
        </w:rPr>
        <w:t>情緒行為並非身心障礙類別，身心障礙者可能會有情緒處於穩定期或不穩定期的情形，</w:t>
      </w:r>
      <w:r w:rsidRPr="005554EF">
        <w:rPr>
          <w:rFonts w:hint="eastAsia"/>
          <w:color w:val="000000" w:themeColor="text1"/>
          <w:u w:val="single"/>
        </w:rPr>
        <w:t>故無法實際就情緒行為障礙者統計人數</w:t>
      </w:r>
      <w:r w:rsidRPr="005554EF">
        <w:rPr>
          <w:rFonts w:hAnsi="標楷體" w:hint="eastAsia"/>
          <w:color w:val="000000" w:themeColor="text1"/>
        </w:rPr>
        <w:t>」、「</w:t>
      </w:r>
      <w:r w:rsidRPr="005554EF">
        <w:rPr>
          <w:rFonts w:hAnsi="標楷體" w:hint="eastAsia"/>
          <w:color w:val="000000" w:themeColor="text1"/>
          <w:u w:val="single"/>
        </w:rPr>
        <w:t>針對嚴重情緒行為身心障礙者，非屬身心障礙類別，故無實際統計需求數</w:t>
      </w:r>
      <w:r w:rsidRPr="005554EF">
        <w:rPr>
          <w:rFonts w:hAnsi="標楷體" w:hint="eastAsia"/>
          <w:color w:val="000000" w:themeColor="text1"/>
        </w:rPr>
        <w:t>」。</w:t>
      </w:r>
    </w:p>
    <w:p w:rsidR="0064315F" w:rsidRPr="005554EF" w:rsidRDefault="0064315F" w:rsidP="001C5555">
      <w:pPr>
        <w:pStyle w:val="4"/>
        <w:rPr>
          <w:color w:val="000000" w:themeColor="text1"/>
        </w:rPr>
      </w:pPr>
      <w:proofErr w:type="gramStart"/>
      <w:r w:rsidRPr="005554EF">
        <w:rPr>
          <w:rFonts w:hint="eastAsia"/>
          <w:color w:val="000000" w:themeColor="text1"/>
        </w:rPr>
        <w:t>衛福部查復</w:t>
      </w:r>
      <w:proofErr w:type="gramEnd"/>
      <w:r w:rsidRPr="005554EF">
        <w:rPr>
          <w:rFonts w:hint="eastAsia"/>
          <w:color w:val="000000" w:themeColor="text1"/>
        </w:rPr>
        <w:t>表示：「身心障礙者依其障礙類別及程度，有不同的服務需求及差異。針對嚴重情緒行為身心障礙者，非屬身心障礙類別，故無實際統計需求數，惟依其個別需求，各縣市政府有早療中心、需求評估中心、身障資源中心、家庭資源中心、身障會館、家庭照顧者諮詢服務中心、家庭照顧者支持服務據點等單位，提供諮詢、協助取得身障證明、辦理照顧者支持團體，進行居家式、</w:t>
      </w:r>
      <w:proofErr w:type="gramStart"/>
      <w:r w:rsidRPr="005554EF">
        <w:rPr>
          <w:rFonts w:hint="eastAsia"/>
          <w:color w:val="000000" w:themeColor="text1"/>
        </w:rPr>
        <w:t>社區式或機構</w:t>
      </w:r>
      <w:proofErr w:type="gramEnd"/>
      <w:r w:rsidRPr="005554EF">
        <w:rPr>
          <w:rFonts w:hint="eastAsia"/>
          <w:color w:val="000000" w:themeColor="text1"/>
        </w:rPr>
        <w:t>式服務資源之連結與提供，以緩解照顧者壓力，提供支持服務」顯見，衛福</w:t>
      </w:r>
      <w:r w:rsidRPr="005554EF">
        <w:rPr>
          <w:rFonts w:hint="eastAsia"/>
          <w:color w:val="000000" w:themeColor="text1"/>
        </w:rPr>
        <w:lastRenderedPageBreak/>
        <w:t>部不但對情緒行為障礙者人數未掌握，也無針對這類具情緒行為問題障礙者進行需求評估。</w:t>
      </w:r>
      <w:r w:rsidRPr="005554EF">
        <w:rPr>
          <w:color w:val="000000" w:themeColor="text1"/>
        </w:rPr>
        <w:t xml:space="preserve"> </w:t>
      </w:r>
    </w:p>
    <w:p w:rsidR="0064315F" w:rsidRPr="005554EF" w:rsidRDefault="0064315F" w:rsidP="001C5555">
      <w:pPr>
        <w:pStyle w:val="4"/>
        <w:rPr>
          <w:color w:val="000000" w:themeColor="text1"/>
        </w:rPr>
      </w:pPr>
      <w:r w:rsidRPr="005554EF">
        <w:rPr>
          <w:rFonts w:hint="eastAsia"/>
          <w:color w:val="000000" w:themeColor="text1"/>
        </w:rPr>
        <w:t>依據</w:t>
      </w:r>
      <w:proofErr w:type="gramStart"/>
      <w:r w:rsidRPr="005554EF">
        <w:rPr>
          <w:rFonts w:hint="eastAsia"/>
          <w:color w:val="000000" w:themeColor="text1"/>
        </w:rPr>
        <w:t>衛福部查復</w:t>
      </w:r>
      <w:proofErr w:type="gramEnd"/>
      <w:r w:rsidRPr="005554EF">
        <w:rPr>
          <w:rFonts w:hint="eastAsia"/>
          <w:color w:val="000000" w:themeColor="text1"/>
        </w:rPr>
        <w:t>資料，以自</w:t>
      </w:r>
      <w:proofErr w:type="gramStart"/>
      <w:r w:rsidRPr="005554EF">
        <w:rPr>
          <w:rFonts w:hint="eastAsia"/>
          <w:color w:val="000000" w:themeColor="text1"/>
        </w:rPr>
        <w:t>閉症身障</w:t>
      </w:r>
      <w:proofErr w:type="gramEnd"/>
      <w:r w:rsidRPr="005554EF">
        <w:rPr>
          <w:rFonts w:hint="eastAsia"/>
          <w:color w:val="000000" w:themeColor="text1"/>
        </w:rPr>
        <w:t>者需求評估為例，前三名分別為</w:t>
      </w:r>
      <w:r w:rsidRPr="005554EF">
        <w:rPr>
          <w:rFonts w:hAnsi="標楷體" w:hint="eastAsia"/>
          <w:color w:val="000000" w:themeColor="text1"/>
        </w:rPr>
        <w:t>「</w:t>
      </w:r>
      <w:r w:rsidRPr="005554EF">
        <w:rPr>
          <w:rFonts w:hint="eastAsia"/>
          <w:color w:val="000000" w:themeColor="text1"/>
        </w:rPr>
        <w:t>復康巴士</w:t>
      </w:r>
      <w:r w:rsidRPr="005554EF">
        <w:rPr>
          <w:rFonts w:hAnsi="標楷體" w:hint="eastAsia"/>
          <w:color w:val="000000" w:themeColor="text1"/>
        </w:rPr>
        <w:t>」</w:t>
      </w:r>
      <w:r w:rsidRPr="005554EF">
        <w:rPr>
          <w:rFonts w:hint="eastAsia"/>
          <w:color w:val="000000" w:themeColor="text1"/>
        </w:rPr>
        <w:t>、</w:t>
      </w:r>
      <w:r w:rsidRPr="005554EF">
        <w:rPr>
          <w:rFonts w:hAnsi="標楷體" w:hint="eastAsia"/>
          <w:color w:val="000000" w:themeColor="text1"/>
        </w:rPr>
        <w:t>「</w:t>
      </w:r>
      <w:r w:rsidRPr="005554EF">
        <w:rPr>
          <w:rFonts w:hint="eastAsia"/>
          <w:color w:val="000000" w:themeColor="text1"/>
        </w:rPr>
        <w:t>日間及住宿式照顧</w:t>
      </w:r>
      <w:r w:rsidRPr="005554EF">
        <w:rPr>
          <w:rFonts w:hAnsi="標楷體" w:hint="eastAsia"/>
          <w:color w:val="000000" w:themeColor="text1"/>
        </w:rPr>
        <w:t>」</w:t>
      </w:r>
      <w:r w:rsidRPr="005554EF">
        <w:rPr>
          <w:rFonts w:hint="eastAsia"/>
          <w:color w:val="000000" w:themeColor="text1"/>
        </w:rPr>
        <w:t>及</w:t>
      </w:r>
      <w:r w:rsidRPr="005554EF">
        <w:rPr>
          <w:rFonts w:hAnsi="標楷體" w:hint="eastAsia"/>
          <w:color w:val="000000" w:themeColor="text1"/>
        </w:rPr>
        <w:t>「</w:t>
      </w:r>
      <w:r w:rsidRPr="005554EF">
        <w:rPr>
          <w:rFonts w:hint="eastAsia"/>
          <w:color w:val="000000" w:themeColor="text1"/>
        </w:rPr>
        <w:t>社區日間作業設施</w:t>
      </w:r>
      <w:r w:rsidRPr="005554EF">
        <w:rPr>
          <w:rFonts w:hAnsi="標楷體" w:hint="eastAsia"/>
          <w:color w:val="000000" w:themeColor="text1"/>
        </w:rPr>
        <w:t>」</w:t>
      </w:r>
      <w:r w:rsidRPr="005554EF">
        <w:rPr>
          <w:rFonts w:hint="eastAsia"/>
          <w:color w:val="000000" w:themeColor="text1"/>
        </w:rPr>
        <w:t>；家庭照顧者之需求首重臨時及短期照顧，詳如下表所示。雖自閉症障礙者易好發情緒行為障礙，自閉症需求評估結果，是否能反映嚴重情緒行為障礙者之實際需求並無法確知，</w:t>
      </w:r>
      <w:proofErr w:type="gramStart"/>
      <w:r w:rsidRPr="005554EF">
        <w:rPr>
          <w:rFonts w:hint="eastAsia"/>
          <w:color w:val="000000" w:themeColor="text1"/>
        </w:rPr>
        <w:t>詢</w:t>
      </w:r>
      <w:proofErr w:type="gramEnd"/>
      <w:r w:rsidRPr="005554EF">
        <w:rPr>
          <w:rFonts w:hint="eastAsia"/>
          <w:color w:val="000000" w:themeColor="text1"/>
        </w:rPr>
        <w:t>據本院諮詢專家學者亦表示，嚴重情緒行為障礙者之各種資源的可及性和即時性仍然無法到位，多數仰賴家長自己尋找連結等語，</w:t>
      </w:r>
      <w:proofErr w:type="gramStart"/>
      <w:r w:rsidRPr="005554EF">
        <w:rPr>
          <w:rFonts w:hint="eastAsia"/>
          <w:color w:val="000000" w:themeColor="text1"/>
        </w:rPr>
        <w:t>凸</w:t>
      </w:r>
      <w:proofErr w:type="gramEnd"/>
      <w:r w:rsidRPr="005554EF">
        <w:rPr>
          <w:rFonts w:hint="eastAsia"/>
          <w:color w:val="000000" w:themeColor="text1"/>
        </w:rPr>
        <w:t>顯社區自立生活資源配置似仍不足，以及服務資訊取得的困境等語。</w:t>
      </w:r>
    </w:p>
    <w:p w:rsidR="002E387E" w:rsidRPr="005554EF" w:rsidRDefault="002E387E" w:rsidP="002E387E">
      <w:pPr>
        <w:widowControl/>
        <w:overflowPunct/>
        <w:autoSpaceDE/>
        <w:autoSpaceDN/>
        <w:jc w:val="left"/>
        <w:rPr>
          <w:rFonts w:hAnsi="Arial"/>
          <w:color w:val="000000" w:themeColor="text1"/>
          <w:kern w:val="32"/>
          <w:szCs w:val="36"/>
        </w:rPr>
      </w:pPr>
      <w:r w:rsidRPr="005554EF">
        <w:rPr>
          <w:color w:val="000000" w:themeColor="text1"/>
        </w:rPr>
        <w:br w:type="page"/>
      </w:r>
    </w:p>
    <w:p w:rsidR="00A90716" w:rsidRPr="005554EF" w:rsidRDefault="00A90716" w:rsidP="00A90716">
      <w:pPr>
        <w:keepNext/>
        <w:kinsoku w:val="0"/>
        <w:adjustRightInd w:val="0"/>
        <w:snapToGrid w:val="0"/>
        <w:spacing w:before="240" w:after="40" w:line="360" w:lineRule="exact"/>
        <w:ind w:left="480" w:hanging="480"/>
        <w:jc w:val="center"/>
        <w:textAlignment w:val="baseline"/>
        <w:rPr>
          <w:rFonts w:hAnsi="華康楷書體W5(P)"/>
          <w:b/>
          <w:bCs/>
          <w:color w:val="000000" w:themeColor="text1"/>
          <w:spacing w:val="-10"/>
          <w:kern w:val="28"/>
          <w:sz w:val="28"/>
          <w:szCs w:val="28"/>
        </w:rPr>
      </w:pPr>
      <w:r w:rsidRPr="005554EF">
        <w:rPr>
          <w:rFonts w:hAnsi="華康楷書體W5(P)" w:hint="eastAsia"/>
          <w:b/>
          <w:bCs/>
          <w:color w:val="000000" w:themeColor="text1"/>
          <w:spacing w:val="-10"/>
          <w:kern w:val="28"/>
          <w:sz w:val="28"/>
          <w:szCs w:val="28"/>
        </w:rPr>
        <w:lastRenderedPageBreak/>
        <w:t>表2 109年及110年自閉症者需求評估結果統計表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gridCol w:w="1134"/>
        <w:gridCol w:w="1417"/>
        <w:gridCol w:w="993"/>
        <w:gridCol w:w="1524"/>
      </w:tblGrid>
      <w:tr w:rsidR="00A90716" w:rsidRPr="005554EF" w:rsidTr="00A90716">
        <w:trPr>
          <w:tblHeader/>
          <w:jc w:val="center"/>
        </w:trPr>
        <w:tc>
          <w:tcPr>
            <w:tcW w:w="988" w:type="dxa"/>
            <w:vMerge w:val="restart"/>
            <w:shd w:val="clear" w:color="auto" w:fill="F2F2F2" w:themeFill="background1" w:themeFillShade="F2"/>
            <w:vAlign w:val="center"/>
          </w:tcPr>
          <w:p w:rsidR="00A90716" w:rsidRPr="005554EF" w:rsidRDefault="00A90716" w:rsidP="00A90716">
            <w:pPr>
              <w:widowControl/>
              <w:spacing w:line="440" w:lineRule="exact"/>
              <w:contextualSpacing/>
              <w:rPr>
                <w:rFonts w:hAnsi="標楷體"/>
                <w:color w:val="000000" w:themeColor="text1"/>
                <w:spacing w:val="-16"/>
                <w:sz w:val="28"/>
                <w:szCs w:val="32"/>
              </w:rPr>
            </w:pPr>
            <w:r w:rsidRPr="005554EF">
              <w:rPr>
                <w:rFonts w:hAnsi="標楷體" w:hint="eastAsia"/>
                <w:color w:val="000000" w:themeColor="text1"/>
                <w:kern w:val="0"/>
                <w:sz w:val="28"/>
                <w:szCs w:val="28"/>
              </w:rPr>
              <w:t>服務</w:t>
            </w:r>
          </w:p>
        </w:tc>
        <w:tc>
          <w:tcPr>
            <w:tcW w:w="2693" w:type="dxa"/>
            <w:vMerge w:val="restart"/>
            <w:shd w:val="clear" w:color="auto" w:fill="F2F2F2" w:themeFill="background1" w:themeFillShade="F2"/>
            <w:vAlign w:val="center"/>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項目</w:t>
            </w:r>
          </w:p>
        </w:tc>
        <w:tc>
          <w:tcPr>
            <w:tcW w:w="2551" w:type="dxa"/>
            <w:gridSpan w:val="2"/>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109年</w:t>
            </w:r>
          </w:p>
        </w:tc>
        <w:tc>
          <w:tcPr>
            <w:tcW w:w="2517" w:type="dxa"/>
            <w:gridSpan w:val="2"/>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110年</w:t>
            </w:r>
          </w:p>
        </w:tc>
      </w:tr>
      <w:tr w:rsidR="00A90716" w:rsidRPr="005554EF" w:rsidTr="00A90716">
        <w:trPr>
          <w:tblHeader/>
          <w:jc w:val="center"/>
        </w:trPr>
        <w:tc>
          <w:tcPr>
            <w:tcW w:w="988" w:type="dxa"/>
            <w:vMerge/>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vMerge/>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人次</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比率</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人次</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比率</w:t>
            </w:r>
          </w:p>
        </w:tc>
      </w:tr>
      <w:tr w:rsidR="00A90716" w:rsidRPr="005554EF" w:rsidTr="00A90716">
        <w:trPr>
          <w:jc w:val="center"/>
        </w:trPr>
        <w:tc>
          <w:tcPr>
            <w:tcW w:w="988" w:type="dxa"/>
            <w:vMerge w:val="restart"/>
          </w:tcPr>
          <w:p w:rsidR="00A90716" w:rsidRPr="005554EF" w:rsidRDefault="00A90716" w:rsidP="00A90716">
            <w:pPr>
              <w:widowControl/>
              <w:spacing w:line="440" w:lineRule="exact"/>
              <w:contextualSpacing/>
              <w:rPr>
                <w:rFonts w:hAnsi="標楷體"/>
                <w:color w:val="000000" w:themeColor="text1"/>
                <w:spacing w:val="-16"/>
                <w:sz w:val="28"/>
                <w:szCs w:val="32"/>
              </w:rPr>
            </w:pPr>
            <w:r w:rsidRPr="005554EF">
              <w:rPr>
                <w:rFonts w:hAnsi="標楷體" w:hint="eastAsia"/>
                <w:color w:val="000000" w:themeColor="text1"/>
                <w:spacing w:val="-16"/>
                <w:sz w:val="28"/>
                <w:szCs w:val="32"/>
              </w:rPr>
              <w:t>個人照顧服務</w:t>
            </w: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生活重建</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1.42</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34</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2.13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社區式日間照顧服務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215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17.92</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235</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14.74</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社區日間作業設施</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287</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23.92</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512</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32.12</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自力生活支持服務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39</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27</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1.69</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社區居住</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4.58</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49</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3.07</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proofErr w:type="gramStart"/>
            <w:r w:rsidRPr="005554EF">
              <w:rPr>
                <w:rFonts w:hAnsi="標楷體" w:hint="eastAsia"/>
                <w:color w:val="000000" w:themeColor="text1"/>
                <w:spacing w:val="-16"/>
                <w:sz w:val="28"/>
                <w:szCs w:val="32"/>
              </w:rPr>
              <w:t>家庭托顧</w:t>
            </w:r>
            <w:proofErr w:type="gramEnd"/>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87</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72</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4.52</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復康巴士</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1200</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100</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1591</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99.81</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輔具服務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0.83</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13</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0.82</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日間及住宿式照顧</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919</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76.58</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1279</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80.24</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心理重建</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18</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42</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2.63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婚姻及生育輔導</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30</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2.50</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0.63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課後照顧</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64</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5.33</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3.01</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情緒支持</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20</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1.67</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0.63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行為輔導</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89</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7.42</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5.52</w:t>
            </w:r>
          </w:p>
        </w:tc>
      </w:tr>
      <w:tr w:rsidR="00A90716" w:rsidRPr="005554EF" w:rsidTr="00A90716">
        <w:trPr>
          <w:jc w:val="center"/>
        </w:trPr>
        <w:tc>
          <w:tcPr>
            <w:tcW w:w="988" w:type="dxa"/>
            <w:vMerge w:val="restart"/>
          </w:tcPr>
          <w:p w:rsidR="00A90716" w:rsidRPr="005554EF" w:rsidRDefault="00A90716" w:rsidP="00A90716">
            <w:pPr>
              <w:widowControl/>
              <w:spacing w:line="440" w:lineRule="exact"/>
              <w:contextualSpacing/>
              <w:rPr>
                <w:rFonts w:hAnsi="標楷體"/>
                <w:color w:val="000000" w:themeColor="text1"/>
                <w:spacing w:val="-16"/>
                <w:sz w:val="28"/>
                <w:szCs w:val="32"/>
              </w:rPr>
            </w:pPr>
            <w:r w:rsidRPr="005554EF">
              <w:rPr>
                <w:rFonts w:hAnsi="標楷體" w:hint="eastAsia"/>
                <w:color w:val="000000" w:themeColor="text1"/>
                <w:spacing w:val="-16"/>
                <w:sz w:val="28"/>
                <w:szCs w:val="32"/>
              </w:rPr>
              <w:t>家庭照顧者服務</w:t>
            </w: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臨時及短期照顧</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447</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37.25</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539</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33.81</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照顧者支持</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195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11.17</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照顧者訓練及研習</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195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11.17</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家庭關懷訪視及服務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87</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5.52</w:t>
            </w:r>
          </w:p>
        </w:tc>
      </w:tr>
    </w:tbl>
    <w:p w:rsidR="00A90716" w:rsidRPr="005554EF" w:rsidRDefault="00A90716" w:rsidP="00A90716">
      <w:pPr>
        <w:spacing w:line="280" w:lineRule="exact"/>
        <w:outlineLvl w:val="2"/>
        <w:rPr>
          <w:rFonts w:hAnsi="Arial"/>
          <w:bCs/>
          <w:color w:val="000000" w:themeColor="text1"/>
          <w:kern w:val="32"/>
          <w:sz w:val="28"/>
          <w:szCs w:val="36"/>
        </w:rPr>
      </w:pPr>
      <w:proofErr w:type="gramStart"/>
      <w:r w:rsidRPr="005554EF">
        <w:rPr>
          <w:rFonts w:hAnsi="Arial" w:hint="eastAsia"/>
          <w:bCs/>
          <w:color w:val="000000" w:themeColor="text1"/>
          <w:kern w:val="32"/>
          <w:sz w:val="28"/>
          <w:szCs w:val="36"/>
        </w:rPr>
        <w:t>註</w:t>
      </w:r>
      <w:proofErr w:type="gramEnd"/>
      <w:r w:rsidRPr="005554EF">
        <w:rPr>
          <w:rFonts w:hAnsi="Arial" w:hint="eastAsia"/>
          <w:bCs/>
          <w:color w:val="000000" w:themeColor="text1"/>
          <w:kern w:val="32"/>
          <w:sz w:val="28"/>
          <w:szCs w:val="36"/>
        </w:rPr>
        <w:t>：</w:t>
      </w:r>
    </w:p>
    <w:p w:rsidR="00A90716" w:rsidRPr="005554EF" w:rsidRDefault="00A90716" w:rsidP="00A54C8A">
      <w:pPr>
        <w:numPr>
          <w:ilvl w:val="0"/>
          <w:numId w:val="9"/>
        </w:numPr>
        <w:spacing w:line="280" w:lineRule="exact"/>
        <w:outlineLvl w:val="2"/>
        <w:rPr>
          <w:rFonts w:hAnsi="Arial"/>
          <w:bCs/>
          <w:color w:val="000000" w:themeColor="text1"/>
          <w:kern w:val="32"/>
          <w:sz w:val="28"/>
          <w:szCs w:val="36"/>
        </w:rPr>
      </w:pPr>
      <w:r w:rsidRPr="005554EF">
        <w:rPr>
          <w:rFonts w:hAnsi="Arial" w:hint="eastAsia"/>
          <w:bCs/>
          <w:color w:val="000000" w:themeColor="text1"/>
          <w:kern w:val="32"/>
          <w:sz w:val="28"/>
          <w:szCs w:val="36"/>
        </w:rPr>
        <w:t>109年經需求評估且對照舊制自閉症及含自閉症之多重障礙者1,200人次；110年經需求評估且對照舊制自閉症及含自閉症之多重障礙者1,594人次。</w:t>
      </w:r>
    </w:p>
    <w:p w:rsidR="00A90716" w:rsidRPr="005554EF" w:rsidRDefault="00A90716" w:rsidP="00A54C8A">
      <w:pPr>
        <w:numPr>
          <w:ilvl w:val="0"/>
          <w:numId w:val="9"/>
        </w:numPr>
        <w:spacing w:line="280" w:lineRule="exact"/>
        <w:outlineLvl w:val="2"/>
        <w:rPr>
          <w:rFonts w:hAnsi="Arial"/>
          <w:bCs/>
          <w:color w:val="000000" w:themeColor="text1"/>
          <w:kern w:val="32"/>
          <w:sz w:val="28"/>
          <w:szCs w:val="36"/>
        </w:rPr>
      </w:pPr>
      <w:r w:rsidRPr="005554EF">
        <w:rPr>
          <w:rFonts w:hAnsi="Arial" w:hint="eastAsia"/>
          <w:bCs/>
          <w:color w:val="000000" w:themeColor="text1"/>
          <w:kern w:val="32"/>
          <w:sz w:val="28"/>
          <w:szCs w:val="36"/>
        </w:rPr>
        <w:t>資料來源：衛福部。</w:t>
      </w:r>
    </w:p>
    <w:p w:rsidR="0064315F" w:rsidRPr="005554EF" w:rsidRDefault="0064315F" w:rsidP="0064315F">
      <w:pPr>
        <w:outlineLvl w:val="3"/>
        <w:rPr>
          <w:rFonts w:hAnsi="Arial"/>
          <w:color w:val="000000" w:themeColor="text1"/>
          <w:kern w:val="32"/>
          <w:szCs w:val="36"/>
        </w:rPr>
      </w:pPr>
    </w:p>
    <w:p w:rsidR="0064315F" w:rsidRPr="005554EF" w:rsidRDefault="0064315F" w:rsidP="001C5555">
      <w:pPr>
        <w:pStyle w:val="3"/>
        <w:rPr>
          <w:color w:val="000000" w:themeColor="text1"/>
        </w:rPr>
      </w:pPr>
      <w:bookmarkStart w:id="51" w:name="_Toc120783848"/>
      <w:bookmarkStart w:id="52" w:name="_Toc124325924"/>
      <w:r w:rsidRPr="005554EF">
        <w:rPr>
          <w:rFonts w:hint="eastAsia"/>
          <w:b/>
          <w:color w:val="000000" w:themeColor="text1"/>
        </w:rPr>
        <w:t>雖衛福部近年來積極推動「第2期身心障礙者社區式照顧服務資源布建規劃(110年-113年)」，發展身障者社區式服務及充實資源配置，卻未能將具情緒行為問題障礙者需求納入考量，再加上這類具情緒行為問題障礙者在社區自立生活需投入更多照顧心力，往往難以使用、遭服務單位拒絕或被迫接受</w:t>
      </w:r>
      <w:r w:rsidRPr="005554EF">
        <w:rPr>
          <w:rFonts w:hint="eastAsia"/>
          <w:b/>
          <w:color w:val="000000" w:themeColor="text1"/>
        </w:rPr>
        <w:lastRenderedPageBreak/>
        <w:t>某些服務或生活，顯見社區式服務缺乏個別化、資源可及性和即時性，致認知障礙及情緒行為困擾的自閉症障礙者融入社區及自立生活困難重重</w:t>
      </w:r>
      <w:r w:rsidRPr="005554EF">
        <w:rPr>
          <w:rFonts w:hint="eastAsia"/>
          <w:color w:val="000000" w:themeColor="text1"/>
        </w:rPr>
        <w:t>：</w:t>
      </w:r>
      <w:bookmarkEnd w:id="51"/>
      <w:bookmarkEnd w:id="52"/>
    </w:p>
    <w:p w:rsidR="0064315F" w:rsidRPr="005554EF" w:rsidRDefault="0064315F" w:rsidP="001C5555">
      <w:pPr>
        <w:pStyle w:val="4"/>
        <w:rPr>
          <w:color w:val="000000" w:themeColor="text1"/>
        </w:rPr>
      </w:pPr>
      <w:r w:rsidRPr="005554EF">
        <w:rPr>
          <w:rFonts w:hint="eastAsia"/>
          <w:color w:val="000000" w:themeColor="text1"/>
        </w:rPr>
        <w:t>對於有情緒行為問題之身心障礙者照顧服務資源布建情形，</w:t>
      </w:r>
      <w:proofErr w:type="gramStart"/>
      <w:r w:rsidRPr="005554EF">
        <w:rPr>
          <w:rFonts w:hint="eastAsia"/>
          <w:color w:val="000000" w:themeColor="text1"/>
        </w:rPr>
        <w:t>衛福部查復</w:t>
      </w:r>
      <w:proofErr w:type="gramEnd"/>
      <w:r w:rsidRPr="005554EF">
        <w:rPr>
          <w:rFonts w:hint="eastAsia"/>
          <w:color w:val="000000" w:themeColor="text1"/>
        </w:rPr>
        <w:t>表示，該部身心障礙福利服務資源布建專案小組委員包含民間團體代表、專家及地方縣市政府，透過實務工作者提供身障者及其家庭或照顧者意見，並參酌身心障礙者生活狀況及需求調查報告，進行</w:t>
      </w:r>
      <w:proofErr w:type="gramStart"/>
      <w:r w:rsidRPr="005554EF">
        <w:rPr>
          <w:rFonts w:hint="eastAsia"/>
          <w:color w:val="000000" w:themeColor="text1"/>
        </w:rPr>
        <w:t>研</w:t>
      </w:r>
      <w:proofErr w:type="gramEnd"/>
      <w:r w:rsidRPr="005554EF">
        <w:rPr>
          <w:rFonts w:hint="eastAsia"/>
          <w:color w:val="000000" w:themeColor="text1"/>
        </w:rPr>
        <w:t>擬資源布建之服務等語。該</w:t>
      </w:r>
      <w:proofErr w:type="gramStart"/>
      <w:r w:rsidRPr="005554EF">
        <w:rPr>
          <w:rFonts w:hint="eastAsia"/>
          <w:color w:val="000000" w:themeColor="text1"/>
        </w:rPr>
        <w:t>部社家署110年3月25日社家障字</w:t>
      </w:r>
      <w:proofErr w:type="gramEnd"/>
      <w:r w:rsidRPr="005554EF">
        <w:rPr>
          <w:rFonts w:hint="eastAsia"/>
          <w:color w:val="000000" w:themeColor="text1"/>
        </w:rPr>
        <w:t>第1100700341號函核定「第2期身心障礙者社區式照顧服務資源布建規劃(110年-113年)」，發展身障者社區式服務及充實資源配置。</w:t>
      </w:r>
    </w:p>
    <w:p w:rsidR="0064315F" w:rsidRPr="005554EF" w:rsidRDefault="0064315F" w:rsidP="001C5555">
      <w:pPr>
        <w:pStyle w:val="4"/>
        <w:rPr>
          <w:color w:val="000000" w:themeColor="text1"/>
        </w:rPr>
      </w:pPr>
      <w:r w:rsidRPr="005554EF">
        <w:rPr>
          <w:rFonts w:hint="eastAsia"/>
          <w:color w:val="000000" w:themeColor="text1"/>
        </w:rPr>
        <w:t>衛福部提供</w:t>
      </w:r>
      <w:r w:rsidRPr="005554EF">
        <w:rPr>
          <w:rFonts w:hAnsi="標楷體" w:hint="eastAsia"/>
          <w:color w:val="000000" w:themeColor="text1"/>
        </w:rPr>
        <w:t>「</w:t>
      </w:r>
      <w:r w:rsidRPr="005554EF">
        <w:rPr>
          <w:rFonts w:hint="eastAsia"/>
          <w:color w:val="000000" w:themeColor="text1"/>
        </w:rPr>
        <w:t>各縣市對身心障礙者之居家式、</w:t>
      </w:r>
      <w:proofErr w:type="gramStart"/>
      <w:r w:rsidRPr="005554EF">
        <w:rPr>
          <w:rFonts w:hint="eastAsia"/>
          <w:color w:val="000000" w:themeColor="text1"/>
        </w:rPr>
        <w:t>社區式及機構</w:t>
      </w:r>
      <w:proofErr w:type="gramEnd"/>
      <w:r w:rsidRPr="005554EF">
        <w:rPr>
          <w:rFonts w:hint="eastAsia"/>
          <w:color w:val="000000" w:themeColor="text1"/>
        </w:rPr>
        <w:t>式服務資源配置及提供服務人數(包含嚴重情緒行為障礙者)</w:t>
      </w:r>
      <w:r w:rsidRPr="005554EF">
        <w:rPr>
          <w:rFonts w:hAnsi="標楷體" w:hint="eastAsia"/>
          <w:color w:val="000000" w:themeColor="text1"/>
        </w:rPr>
        <w:t>」</w:t>
      </w:r>
      <w:r w:rsidRPr="005554EF">
        <w:rPr>
          <w:rFonts w:hint="eastAsia"/>
          <w:color w:val="000000" w:themeColor="text1"/>
        </w:rPr>
        <w:t>，詳如下表所示。</w:t>
      </w:r>
      <w:proofErr w:type="gramStart"/>
      <w:r w:rsidRPr="005554EF">
        <w:rPr>
          <w:rFonts w:hint="eastAsia"/>
          <w:color w:val="000000" w:themeColor="text1"/>
        </w:rPr>
        <w:t>該部查復</w:t>
      </w:r>
      <w:proofErr w:type="gramEnd"/>
      <w:r w:rsidRPr="005554EF">
        <w:rPr>
          <w:rFonts w:hint="eastAsia"/>
          <w:color w:val="000000" w:themeColor="text1"/>
        </w:rPr>
        <w:t>說明提供下表有關</w:t>
      </w:r>
      <w:proofErr w:type="gramStart"/>
      <w:r w:rsidRPr="005554EF">
        <w:rPr>
          <w:rFonts w:hint="eastAsia"/>
          <w:color w:val="000000" w:themeColor="text1"/>
        </w:rPr>
        <w:t>家庭托顧</w:t>
      </w:r>
      <w:proofErr w:type="gramEnd"/>
      <w:r w:rsidRPr="005554EF">
        <w:rPr>
          <w:rFonts w:hint="eastAsia"/>
          <w:color w:val="000000" w:themeColor="text1"/>
        </w:rPr>
        <w:t>、身心障礙日間照顧機構、住宿式機構、社區居住、日間作業設施（小型作業所）及社區式日間照顧(含社區樂活補給站)等福利服務之服務對象，包含嚴重情緒行為身心障礙者</w:t>
      </w:r>
      <w:r w:rsidRPr="005554EF">
        <w:rPr>
          <w:rFonts w:ascii="新細明體" w:eastAsia="新細明體" w:hAnsi="新細明體" w:hint="eastAsia"/>
          <w:color w:val="000000" w:themeColor="text1"/>
        </w:rPr>
        <w:t>。</w:t>
      </w:r>
      <w:r w:rsidRPr="005554EF">
        <w:rPr>
          <w:rFonts w:hAnsi="標楷體" w:hint="eastAsia"/>
          <w:color w:val="000000" w:themeColor="text1"/>
        </w:rPr>
        <w:t>衛福</w:t>
      </w:r>
      <w:proofErr w:type="gramStart"/>
      <w:r w:rsidRPr="005554EF">
        <w:rPr>
          <w:rFonts w:hAnsi="標楷體" w:hint="eastAsia"/>
          <w:color w:val="000000" w:themeColor="text1"/>
        </w:rPr>
        <w:t>部查復並</w:t>
      </w:r>
      <w:proofErr w:type="gramEnd"/>
      <w:r w:rsidRPr="005554EF">
        <w:rPr>
          <w:rFonts w:hAnsi="標楷體" w:hint="eastAsia"/>
          <w:color w:val="000000" w:themeColor="text1"/>
        </w:rPr>
        <w:t>表示，現行社區式服務並未排除嚴重情緒行為身心障礙者使用，且嚴重情緒行為身障者，如於一般性日間照顧服務單位接受照顧，較能多元參與等語。</w:t>
      </w:r>
    </w:p>
    <w:p w:rsidR="0064315F" w:rsidRPr="005554EF" w:rsidRDefault="0064315F" w:rsidP="001C5555">
      <w:pPr>
        <w:pStyle w:val="4"/>
        <w:rPr>
          <w:color w:val="000000" w:themeColor="text1"/>
        </w:rPr>
      </w:pPr>
      <w:r w:rsidRPr="005554EF">
        <w:rPr>
          <w:rFonts w:hint="eastAsia"/>
          <w:color w:val="000000" w:themeColor="text1"/>
        </w:rPr>
        <w:t>本院諮詢專家學者表示，小型作業所目前的照顧人力比為1比6-12，照顧能量少，相較於機構差，一旦遇情緒行為議題個案，將無法協助，通常就會請該情緒行為個案離開服務單位等語。</w:t>
      </w:r>
    </w:p>
    <w:p w:rsidR="0064315F" w:rsidRPr="005554EF" w:rsidRDefault="0064315F" w:rsidP="001C5555">
      <w:pPr>
        <w:pStyle w:val="4"/>
        <w:rPr>
          <w:color w:val="000000" w:themeColor="text1"/>
        </w:rPr>
      </w:pPr>
      <w:r w:rsidRPr="005554EF">
        <w:rPr>
          <w:rFonts w:hint="eastAsia"/>
          <w:color w:val="000000" w:themeColor="text1"/>
        </w:rPr>
        <w:t>以</w:t>
      </w:r>
      <w:r w:rsidRPr="005554EF">
        <w:rPr>
          <w:rFonts w:hAnsi="標楷體" w:hint="eastAsia"/>
          <w:color w:val="000000" w:themeColor="text1"/>
        </w:rPr>
        <w:t>「</w:t>
      </w:r>
      <w:r w:rsidRPr="005554EF">
        <w:rPr>
          <w:rFonts w:hint="eastAsia"/>
          <w:color w:val="000000" w:themeColor="text1"/>
        </w:rPr>
        <w:t>日間作業設施(小型作業所)</w:t>
      </w:r>
      <w:r w:rsidRPr="005554EF">
        <w:rPr>
          <w:rFonts w:hAnsi="標楷體" w:hint="eastAsia"/>
          <w:color w:val="000000" w:themeColor="text1"/>
        </w:rPr>
        <w:t>」為例，截至111年3月底止，全</w:t>
      </w:r>
      <w:proofErr w:type="gramStart"/>
      <w:r w:rsidRPr="005554EF">
        <w:rPr>
          <w:rFonts w:hAnsi="標楷體" w:hint="eastAsia"/>
          <w:color w:val="000000" w:themeColor="text1"/>
        </w:rPr>
        <w:t>臺</w:t>
      </w:r>
      <w:proofErr w:type="gramEnd"/>
      <w:r w:rsidRPr="005554EF">
        <w:rPr>
          <w:rFonts w:hAnsi="標楷體" w:hint="eastAsia"/>
          <w:color w:val="000000" w:themeColor="text1"/>
        </w:rPr>
        <w:t>可提供</w:t>
      </w:r>
      <w:r w:rsidRPr="005554EF">
        <w:rPr>
          <w:rFonts w:hAnsi="標楷體"/>
          <w:color w:val="000000" w:themeColor="text1"/>
        </w:rPr>
        <w:t>4,887</w:t>
      </w:r>
      <w:r w:rsidRPr="005554EF">
        <w:rPr>
          <w:rFonts w:hAnsi="標楷體" w:hint="eastAsia"/>
          <w:color w:val="000000" w:themeColor="text1"/>
        </w:rPr>
        <w:t>名身心障礙者服</w:t>
      </w:r>
      <w:r w:rsidRPr="005554EF">
        <w:rPr>
          <w:rFonts w:hAnsi="標楷體" w:hint="eastAsia"/>
          <w:color w:val="000000" w:themeColor="text1"/>
        </w:rPr>
        <w:lastRenderedPageBreak/>
        <w:t>務，</w:t>
      </w:r>
      <w:r w:rsidRPr="005554EF">
        <w:rPr>
          <w:rFonts w:hint="eastAsia"/>
          <w:color w:val="000000" w:themeColor="text1"/>
        </w:rPr>
        <w:t>惟本院實地履</w:t>
      </w:r>
      <w:proofErr w:type="gramStart"/>
      <w:r w:rsidRPr="005554EF">
        <w:rPr>
          <w:rFonts w:hint="eastAsia"/>
          <w:color w:val="000000" w:themeColor="text1"/>
        </w:rPr>
        <w:t>勘</w:t>
      </w:r>
      <w:proofErr w:type="gramEnd"/>
      <w:r w:rsidRPr="005554EF">
        <w:rPr>
          <w:rFonts w:hint="eastAsia"/>
          <w:color w:val="000000" w:themeColor="text1"/>
        </w:rPr>
        <w:t>伊</w:t>
      </w:r>
      <w:proofErr w:type="gramStart"/>
      <w:r w:rsidRPr="005554EF">
        <w:rPr>
          <w:rFonts w:hint="eastAsia"/>
          <w:color w:val="000000" w:themeColor="text1"/>
        </w:rPr>
        <w:t>甸</w:t>
      </w:r>
      <w:proofErr w:type="gramEnd"/>
      <w:r w:rsidRPr="005554EF">
        <w:rPr>
          <w:rFonts w:hint="eastAsia"/>
          <w:color w:val="000000" w:themeColor="text1"/>
        </w:rPr>
        <w:t>社會福利基金會之</w:t>
      </w:r>
      <w:r w:rsidRPr="005554EF">
        <w:rPr>
          <w:rFonts w:hAnsi="標楷體" w:hint="eastAsia"/>
          <w:color w:val="000000" w:themeColor="text1"/>
        </w:rPr>
        <w:t>「</w:t>
      </w:r>
      <w:r w:rsidRPr="005554EF">
        <w:rPr>
          <w:rFonts w:hint="eastAsia"/>
          <w:color w:val="000000" w:themeColor="text1"/>
        </w:rPr>
        <w:t>五餅二魚社區日間作業設施</w:t>
      </w:r>
      <w:r w:rsidRPr="005554EF">
        <w:rPr>
          <w:rFonts w:hAnsi="標楷體" w:hint="eastAsia"/>
          <w:color w:val="000000" w:themeColor="text1"/>
        </w:rPr>
        <w:t>」</w:t>
      </w:r>
      <w:r w:rsidRPr="005554EF">
        <w:rPr>
          <w:rFonts w:hint="eastAsia"/>
          <w:color w:val="000000" w:themeColor="text1"/>
        </w:rPr>
        <w:t>(配置：1名社工員、3名教保員及20名服務使用者)、</w:t>
      </w:r>
      <w:r w:rsidRPr="005554EF">
        <w:rPr>
          <w:rFonts w:hAnsi="標楷體" w:hint="eastAsia"/>
          <w:color w:val="000000" w:themeColor="text1"/>
        </w:rPr>
        <w:t>「</w:t>
      </w:r>
      <w:r w:rsidRPr="005554EF">
        <w:rPr>
          <w:rFonts w:hint="eastAsia"/>
          <w:color w:val="000000" w:themeColor="text1"/>
        </w:rPr>
        <w:t>八福社區家園</w:t>
      </w:r>
      <w:r w:rsidRPr="005554EF">
        <w:rPr>
          <w:rFonts w:hAnsi="標楷體" w:hint="eastAsia"/>
          <w:color w:val="000000" w:themeColor="text1"/>
        </w:rPr>
        <w:t>」</w:t>
      </w:r>
      <w:r w:rsidRPr="005554EF">
        <w:rPr>
          <w:rFonts w:hint="eastAsia"/>
          <w:color w:val="000000" w:themeColor="text1"/>
        </w:rPr>
        <w:t>(配置1名社工員、1名教保員及4名服務使用者)等之身心障礙者社區式照顧</w:t>
      </w:r>
      <w:r w:rsidRPr="005554EF">
        <w:rPr>
          <w:rFonts w:hAnsi="標楷體" w:hint="eastAsia"/>
          <w:color w:val="000000" w:themeColor="text1"/>
        </w:rPr>
        <w:t>支持</w:t>
      </w:r>
      <w:r w:rsidRPr="005554EF">
        <w:rPr>
          <w:rFonts w:hint="eastAsia"/>
          <w:color w:val="000000" w:themeColor="text1"/>
        </w:rPr>
        <w:t>服務，該基金會表示，在案服務中的服務使用者尚無符合嚴重情緒行為評估表界定之標的對象，但有2位在特定情境下會有較明顯的情緒行為表現。該基金會並指出大多數的嚴重情緒行為個案，於社區照顧支持服務在收案時，就可能會被排除，</w:t>
      </w:r>
      <w:proofErr w:type="gramStart"/>
      <w:r w:rsidRPr="005554EF">
        <w:rPr>
          <w:rFonts w:hint="eastAsia"/>
          <w:color w:val="000000" w:themeColor="text1"/>
        </w:rPr>
        <w:t>倘欲協助</w:t>
      </w:r>
      <w:proofErr w:type="gramEnd"/>
      <w:r w:rsidRPr="005554EF">
        <w:rPr>
          <w:rFonts w:hint="eastAsia"/>
          <w:color w:val="000000" w:themeColor="text1"/>
        </w:rPr>
        <w:t>情緒行為問題個案回歸社區，該基金會提出以下建議及期待略</w:t>
      </w:r>
      <w:proofErr w:type="gramStart"/>
      <w:r w:rsidRPr="005554EF">
        <w:rPr>
          <w:rFonts w:hint="eastAsia"/>
          <w:color w:val="000000" w:themeColor="text1"/>
        </w:rPr>
        <w:t>以</w:t>
      </w:r>
      <w:proofErr w:type="gramEnd"/>
      <w:r w:rsidRPr="005554EF">
        <w:rPr>
          <w:rFonts w:hint="eastAsia"/>
          <w:color w:val="000000" w:themeColor="text1"/>
        </w:rPr>
        <w:t>：</w:t>
      </w:r>
    </w:p>
    <w:p w:rsidR="0064315F" w:rsidRPr="005554EF" w:rsidRDefault="0064315F" w:rsidP="001C5555">
      <w:pPr>
        <w:pStyle w:val="5"/>
        <w:rPr>
          <w:color w:val="000000" w:themeColor="text1"/>
        </w:rPr>
      </w:pPr>
      <w:r w:rsidRPr="005554EF">
        <w:rPr>
          <w:rFonts w:hint="eastAsia"/>
          <w:color w:val="000000" w:themeColor="text1"/>
        </w:rPr>
        <w:t>專業人力：期待嚴重情緒行為個案能使用服務前提下，人力比照機構依支持密度調整人力比為1：1，以達支持實質效益。</w:t>
      </w:r>
    </w:p>
    <w:p w:rsidR="0064315F" w:rsidRPr="005554EF" w:rsidRDefault="0064315F" w:rsidP="001C5555">
      <w:pPr>
        <w:pStyle w:val="5"/>
        <w:rPr>
          <w:color w:val="000000" w:themeColor="text1"/>
        </w:rPr>
      </w:pPr>
      <w:r w:rsidRPr="005554EF">
        <w:rPr>
          <w:rFonts w:hint="eastAsia"/>
          <w:color w:val="000000" w:themeColor="text1"/>
        </w:rPr>
        <w:t>專業支持：</w:t>
      </w:r>
    </w:p>
    <w:p w:rsidR="0064315F" w:rsidRPr="005554EF" w:rsidRDefault="0064315F" w:rsidP="001C5555">
      <w:pPr>
        <w:pStyle w:val="6"/>
        <w:rPr>
          <w:color w:val="000000" w:themeColor="text1"/>
        </w:rPr>
      </w:pPr>
      <w:r w:rsidRPr="005554EF">
        <w:rPr>
          <w:rFonts w:hint="eastAsia"/>
          <w:color w:val="000000" w:themeColor="text1"/>
        </w:rPr>
        <w:t>情緒行為輔導資源長期陪伴支持，進入社區日間作業設施、家園、個案家庭提供支持，非抽</w:t>
      </w:r>
      <w:proofErr w:type="gramStart"/>
      <w:r w:rsidRPr="005554EF">
        <w:rPr>
          <w:rFonts w:hint="eastAsia"/>
          <w:color w:val="000000" w:themeColor="text1"/>
        </w:rPr>
        <w:t>離式的介入</w:t>
      </w:r>
      <w:proofErr w:type="gramEnd"/>
      <w:r w:rsidRPr="005554EF">
        <w:rPr>
          <w:rFonts w:hint="eastAsia"/>
          <w:color w:val="000000" w:themeColor="text1"/>
        </w:rPr>
        <w:t>策略。</w:t>
      </w:r>
    </w:p>
    <w:p w:rsidR="0064315F" w:rsidRPr="005554EF" w:rsidRDefault="0064315F" w:rsidP="001C5555">
      <w:pPr>
        <w:pStyle w:val="6"/>
        <w:rPr>
          <w:color w:val="000000" w:themeColor="text1"/>
        </w:rPr>
      </w:pPr>
      <w:r w:rsidRPr="005554EF">
        <w:rPr>
          <w:rFonts w:hint="eastAsia"/>
          <w:color w:val="000000" w:themeColor="text1"/>
        </w:rPr>
        <w:t>期待政府補助教育訓練費或提供專業人員完整正向行為支持。</w:t>
      </w:r>
    </w:p>
    <w:p w:rsidR="0064315F" w:rsidRPr="005554EF" w:rsidRDefault="0064315F" w:rsidP="001C5555">
      <w:pPr>
        <w:pStyle w:val="5"/>
        <w:rPr>
          <w:color w:val="000000" w:themeColor="text1"/>
        </w:rPr>
      </w:pPr>
      <w:r w:rsidRPr="005554EF">
        <w:rPr>
          <w:rFonts w:hint="eastAsia"/>
          <w:color w:val="000000" w:themeColor="text1"/>
        </w:rPr>
        <w:t>場地設施設備：</w:t>
      </w:r>
    </w:p>
    <w:p w:rsidR="0064315F" w:rsidRPr="005554EF" w:rsidRDefault="0064315F" w:rsidP="001C5555">
      <w:pPr>
        <w:pStyle w:val="6"/>
        <w:rPr>
          <w:color w:val="000000" w:themeColor="text1"/>
        </w:rPr>
      </w:pPr>
      <w:r w:rsidRPr="005554EF">
        <w:rPr>
          <w:rFonts w:hint="eastAsia"/>
          <w:color w:val="000000" w:themeColor="text1"/>
        </w:rPr>
        <w:t>空間大小、擁擠容易影響情緒、情緒轉換亦需安靜空間。</w:t>
      </w:r>
    </w:p>
    <w:p w:rsidR="0064315F" w:rsidRPr="005554EF" w:rsidRDefault="0064315F" w:rsidP="001C5555">
      <w:pPr>
        <w:pStyle w:val="6"/>
        <w:rPr>
          <w:color w:val="000000" w:themeColor="text1"/>
        </w:rPr>
      </w:pPr>
      <w:r w:rsidRPr="005554EF">
        <w:rPr>
          <w:rFonts w:hint="eastAsia"/>
          <w:color w:val="000000" w:themeColor="text1"/>
        </w:rPr>
        <w:t>場地、租金經費期待政府能協助承辦單位，例如：提高租金補助及補助設施設備費用。</w:t>
      </w:r>
    </w:p>
    <w:p w:rsidR="0064315F" w:rsidRPr="005554EF" w:rsidRDefault="0064315F" w:rsidP="0064315F">
      <w:pPr>
        <w:widowControl/>
        <w:overflowPunct/>
        <w:autoSpaceDE/>
        <w:autoSpaceDN/>
        <w:jc w:val="left"/>
        <w:rPr>
          <w:color w:val="000000" w:themeColor="text1"/>
        </w:rPr>
      </w:pPr>
    </w:p>
    <w:p w:rsidR="0064315F" w:rsidRPr="005554EF" w:rsidRDefault="0064315F" w:rsidP="0064315F">
      <w:pPr>
        <w:widowControl/>
        <w:overflowPunct/>
        <w:autoSpaceDE/>
        <w:autoSpaceDN/>
        <w:jc w:val="left"/>
        <w:rPr>
          <w:color w:val="000000" w:themeColor="text1"/>
        </w:rPr>
        <w:sectPr w:rsidR="0064315F" w:rsidRPr="005554EF"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B27132" w:rsidRPr="005554EF" w:rsidRDefault="00B27132" w:rsidP="00B27132">
      <w:pPr>
        <w:keepNext/>
        <w:kinsoku w:val="0"/>
        <w:adjustRightInd w:val="0"/>
        <w:snapToGrid w:val="0"/>
        <w:spacing w:before="240" w:after="40" w:line="360" w:lineRule="exact"/>
        <w:ind w:left="480" w:hanging="480"/>
        <w:jc w:val="center"/>
        <w:textAlignment w:val="baseline"/>
        <w:rPr>
          <w:rFonts w:hAnsi="Arial"/>
          <w:b/>
          <w:bCs/>
          <w:color w:val="000000" w:themeColor="text1"/>
          <w:spacing w:val="-10"/>
          <w:kern w:val="32"/>
          <w:sz w:val="28"/>
          <w:szCs w:val="36"/>
        </w:rPr>
      </w:pPr>
      <w:r w:rsidRPr="005554EF">
        <w:rPr>
          <w:rFonts w:hAnsi="Arial" w:hint="eastAsia"/>
          <w:b/>
          <w:bCs/>
          <w:color w:val="000000" w:themeColor="text1"/>
          <w:spacing w:val="-10"/>
          <w:kern w:val="32"/>
          <w:sz w:val="28"/>
          <w:szCs w:val="36"/>
        </w:rPr>
        <w:lastRenderedPageBreak/>
        <w:t>表3 各縣市對身心障礙者之</w:t>
      </w:r>
      <w:r w:rsidRPr="005554EF">
        <w:rPr>
          <w:rFonts w:hAnsi="華康楷書體W5(P)" w:hint="eastAsia"/>
          <w:b/>
          <w:bCs/>
          <w:color w:val="000000" w:themeColor="text1"/>
          <w:spacing w:val="-10"/>
          <w:kern w:val="28"/>
          <w:sz w:val="28"/>
          <w:szCs w:val="28"/>
        </w:rPr>
        <w:t>居家</w:t>
      </w:r>
      <w:r w:rsidRPr="005554EF">
        <w:rPr>
          <w:rFonts w:hAnsi="Arial" w:hint="eastAsia"/>
          <w:b/>
          <w:bCs/>
          <w:color w:val="000000" w:themeColor="text1"/>
          <w:spacing w:val="-10"/>
          <w:kern w:val="32"/>
          <w:sz w:val="28"/>
          <w:szCs w:val="36"/>
        </w:rPr>
        <w:t>式、</w:t>
      </w:r>
      <w:proofErr w:type="gramStart"/>
      <w:r w:rsidRPr="005554EF">
        <w:rPr>
          <w:rFonts w:hAnsi="Arial" w:hint="eastAsia"/>
          <w:b/>
          <w:bCs/>
          <w:color w:val="000000" w:themeColor="text1"/>
          <w:spacing w:val="-10"/>
          <w:kern w:val="32"/>
          <w:sz w:val="28"/>
          <w:szCs w:val="36"/>
        </w:rPr>
        <w:t>社區式及機構</w:t>
      </w:r>
      <w:proofErr w:type="gramEnd"/>
      <w:r w:rsidRPr="005554EF">
        <w:rPr>
          <w:rFonts w:hAnsi="Arial" w:hint="eastAsia"/>
          <w:b/>
          <w:bCs/>
          <w:color w:val="000000" w:themeColor="text1"/>
          <w:spacing w:val="-10"/>
          <w:kern w:val="32"/>
          <w:sz w:val="28"/>
          <w:szCs w:val="36"/>
        </w:rPr>
        <w:t>式服務資源配置及提供服務人數(包含嚴重情緒行為障礙者)</w:t>
      </w:r>
    </w:p>
    <w:tbl>
      <w:tblPr>
        <w:tblW w:w="14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789"/>
        <w:gridCol w:w="885"/>
        <w:gridCol w:w="867"/>
        <w:gridCol w:w="984"/>
        <w:gridCol w:w="1383"/>
        <w:gridCol w:w="756"/>
        <w:gridCol w:w="836"/>
        <w:gridCol w:w="920"/>
        <w:gridCol w:w="851"/>
        <w:gridCol w:w="850"/>
        <w:gridCol w:w="11"/>
        <w:gridCol w:w="856"/>
        <w:gridCol w:w="1126"/>
        <w:gridCol w:w="967"/>
        <w:gridCol w:w="1095"/>
        <w:gridCol w:w="11"/>
      </w:tblGrid>
      <w:tr w:rsidR="00B27132" w:rsidRPr="005554EF" w:rsidTr="00EB769F">
        <w:trPr>
          <w:trHeight w:val="412"/>
          <w:tblHeader/>
        </w:trPr>
        <w:tc>
          <w:tcPr>
            <w:tcW w:w="1140" w:type="dxa"/>
            <w:vMerge w:val="restart"/>
            <w:shd w:val="clear" w:color="auto" w:fill="F2F2F2" w:themeFill="background1" w:themeFillShade="F2"/>
            <w:vAlign w:val="center"/>
          </w:tcPr>
          <w:p w:rsidR="00B27132" w:rsidRPr="005554EF" w:rsidRDefault="00B27132" w:rsidP="00B27132">
            <w:pPr>
              <w:widowControl/>
              <w:spacing w:line="300" w:lineRule="exact"/>
              <w:contextualSpacing/>
              <w:rPr>
                <w:rFonts w:ascii="Times New Roman"/>
                <w:color w:val="000000" w:themeColor="text1"/>
                <w:sz w:val="24"/>
                <w:szCs w:val="24"/>
              </w:rPr>
            </w:pPr>
            <w:r w:rsidRPr="005554EF">
              <w:rPr>
                <w:rFonts w:ascii="Times New Roman"/>
                <w:color w:val="000000" w:themeColor="text1"/>
                <w:sz w:val="24"/>
                <w:szCs w:val="24"/>
              </w:rPr>
              <w:t>服務</w:t>
            </w:r>
          </w:p>
          <w:p w:rsidR="00B27132" w:rsidRPr="005554EF" w:rsidRDefault="00B27132" w:rsidP="00B27132">
            <w:pPr>
              <w:widowControl/>
              <w:spacing w:line="300" w:lineRule="exact"/>
              <w:contextualSpacing/>
              <w:rPr>
                <w:rFonts w:ascii="Times New Roman"/>
                <w:color w:val="000000" w:themeColor="text1"/>
                <w:sz w:val="24"/>
                <w:szCs w:val="24"/>
              </w:rPr>
            </w:pPr>
            <w:r w:rsidRPr="005554EF">
              <w:rPr>
                <w:rFonts w:hAnsi="標楷體"/>
                <w:color w:val="000000" w:themeColor="text1"/>
                <w:spacing w:val="-16"/>
                <w:sz w:val="24"/>
                <w:szCs w:val="24"/>
              </w:rPr>
              <w:t>項目</w:t>
            </w:r>
          </w:p>
          <w:p w:rsidR="00B27132" w:rsidRPr="005554EF" w:rsidRDefault="00B27132" w:rsidP="00B27132">
            <w:pPr>
              <w:spacing w:line="300" w:lineRule="exact"/>
              <w:jc w:val="center"/>
              <w:rPr>
                <w:rFonts w:ascii="Times New Roman"/>
                <w:color w:val="000000" w:themeColor="text1"/>
                <w:sz w:val="24"/>
                <w:szCs w:val="24"/>
              </w:rPr>
            </w:pP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縣市別</w:t>
            </w:r>
          </w:p>
        </w:tc>
        <w:tc>
          <w:tcPr>
            <w:tcW w:w="1674" w:type="dxa"/>
            <w:gridSpan w:val="2"/>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居家式</w:t>
            </w:r>
          </w:p>
        </w:tc>
        <w:tc>
          <w:tcPr>
            <w:tcW w:w="7458" w:type="dxa"/>
            <w:gridSpan w:val="9"/>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社區式</w:t>
            </w:r>
          </w:p>
        </w:tc>
        <w:tc>
          <w:tcPr>
            <w:tcW w:w="4055" w:type="dxa"/>
            <w:gridSpan w:val="5"/>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住宿式</w:t>
            </w:r>
          </w:p>
        </w:tc>
      </w:tr>
      <w:tr w:rsidR="00B27132" w:rsidRPr="005554EF" w:rsidTr="00EB769F">
        <w:trPr>
          <w:gridAfter w:val="1"/>
          <w:wAfter w:w="11" w:type="dxa"/>
          <w:trHeight w:val="890"/>
          <w:tblHeader/>
        </w:trPr>
        <w:tc>
          <w:tcPr>
            <w:tcW w:w="1140" w:type="dxa"/>
            <w:vMerge/>
            <w:shd w:val="clear" w:color="auto" w:fill="F2F2F2" w:themeFill="background1" w:themeFillShade="F2"/>
            <w:vAlign w:val="center"/>
          </w:tcPr>
          <w:p w:rsidR="00B27132" w:rsidRPr="005554EF" w:rsidRDefault="00B27132" w:rsidP="00B27132">
            <w:pPr>
              <w:spacing w:line="300" w:lineRule="exact"/>
              <w:ind w:leftChars="200" w:left="640"/>
              <w:jc w:val="center"/>
              <w:rPr>
                <w:rFonts w:ascii="Times New Roman"/>
                <w:color w:val="000000" w:themeColor="text1"/>
                <w:sz w:val="24"/>
                <w:szCs w:val="24"/>
              </w:rPr>
            </w:pPr>
          </w:p>
        </w:tc>
        <w:tc>
          <w:tcPr>
            <w:tcW w:w="789"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proofErr w:type="gramStart"/>
            <w:r w:rsidRPr="005554EF">
              <w:rPr>
                <w:rFonts w:ascii="Times New Roman"/>
                <w:color w:val="000000" w:themeColor="text1"/>
                <w:sz w:val="24"/>
                <w:szCs w:val="24"/>
              </w:rPr>
              <w:t>家庭托顧</w:t>
            </w:r>
            <w:proofErr w:type="gramEnd"/>
          </w:p>
        </w:tc>
        <w:tc>
          <w:tcPr>
            <w:tcW w:w="885"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長</w:t>
            </w:r>
            <w:proofErr w:type="gramStart"/>
            <w:r w:rsidRPr="005554EF">
              <w:rPr>
                <w:rFonts w:ascii="Times New Roman"/>
                <w:color w:val="000000" w:themeColor="text1"/>
                <w:sz w:val="24"/>
                <w:szCs w:val="24"/>
              </w:rPr>
              <w:t>照家托</w:t>
            </w:r>
            <w:proofErr w:type="gramEnd"/>
          </w:p>
        </w:tc>
        <w:tc>
          <w:tcPr>
            <w:tcW w:w="867"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機構式日間照顧</w:t>
            </w:r>
          </w:p>
        </w:tc>
        <w:tc>
          <w:tcPr>
            <w:tcW w:w="984"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日間作業設施</w:t>
            </w:r>
            <w:r w:rsidRPr="005554EF">
              <w:rPr>
                <w:rFonts w:ascii="Times New Roman"/>
                <w:color w:val="000000" w:themeColor="text1"/>
                <w:sz w:val="24"/>
                <w:szCs w:val="24"/>
              </w:rPr>
              <w:t>(</w:t>
            </w:r>
            <w:r w:rsidRPr="005554EF">
              <w:rPr>
                <w:rFonts w:ascii="Times New Roman"/>
                <w:color w:val="000000" w:themeColor="text1"/>
                <w:sz w:val="24"/>
                <w:szCs w:val="24"/>
              </w:rPr>
              <w:t>小作所</w:t>
            </w:r>
            <w:r w:rsidRPr="005554EF">
              <w:rPr>
                <w:rFonts w:ascii="Times New Roman"/>
                <w:color w:val="000000" w:themeColor="text1"/>
                <w:sz w:val="24"/>
                <w:szCs w:val="24"/>
              </w:rPr>
              <w:t>)</w:t>
            </w:r>
          </w:p>
        </w:tc>
        <w:tc>
          <w:tcPr>
            <w:tcW w:w="1383"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社區式日間照顧</w:t>
            </w: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w:t>
            </w:r>
            <w:r w:rsidRPr="005554EF">
              <w:rPr>
                <w:rFonts w:ascii="Times New Roman"/>
                <w:color w:val="000000" w:themeColor="text1"/>
                <w:sz w:val="24"/>
                <w:szCs w:val="24"/>
              </w:rPr>
              <w:t>含社區樂活補給站</w:t>
            </w:r>
            <w:r w:rsidRPr="005554EF">
              <w:rPr>
                <w:rFonts w:ascii="Times New Roman"/>
                <w:color w:val="000000" w:themeColor="text1"/>
                <w:sz w:val="24"/>
                <w:szCs w:val="24"/>
              </w:rPr>
              <w:t>)</w:t>
            </w:r>
          </w:p>
        </w:tc>
        <w:tc>
          <w:tcPr>
            <w:tcW w:w="756"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庇護工場</w:t>
            </w:r>
          </w:p>
        </w:tc>
        <w:tc>
          <w:tcPr>
            <w:tcW w:w="836"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社區居住</w:t>
            </w:r>
          </w:p>
        </w:tc>
        <w:tc>
          <w:tcPr>
            <w:tcW w:w="920"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失能身障日照</w:t>
            </w:r>
          </w:p>
        </w:tc>
        <w:tc>
          <w:tcPr>
            <w:tcW w:w="851"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失能身</w:t>
            </w:r>
            <w:proofErr w:type="gramStart"/>
            <w:r w:rsidRPr="005554EF">
              <w:rPr>
                <w:rFonts w:ascii="Times New Roman"/>
                <w:color w:val="000000" w:themeColor="text1"/>
                <w:sz w:val="24"/>
                <w:szCs w:val="24"/>
              </w:rPr>
              <w:t>障家托</w:t>
            </w:r>
            <w:proofErr w:type="gramEnd"/>
          </w:p>
        </w:tc>
        <w:tc>
          <w:tcPr>
            <w:tcW w:w="850"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長照日照</w:t>
            </w:r>
          </w:p>
        </w:tc>
        <w:tc>
          <w:tcPr>
            <w:tcW w:w="867" w:type="dxa"/>
            <w:gridSpan w:val="2"/>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長照機構</w:t>
            </w:r>
          </w:p>
        </w:tc>
        <w:tc>
          <w:tcPr>
            <w:tcW w:w="1126"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身障</w:t>
            </w: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住宿式機構</w:t>
            </w:r>
          </w:p>
        </w:tc>
        <w:tc>
          <w:tcPr>
            <w:tcW w:w="967"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團體</w:t>
            </w: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家屋</w:t>
            </w:r>
          </w:p>
        </w:tc>
        <w:tc>
          <w:tcPr>
            <w:tcW w:w="1095"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情緒行為支持中心</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臺北市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885"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12</w:t>
            </w:r>
          </w:p>
        </w:tc>
        <w:tc>
          <w:tcPr>
            <w:tcW w:w="867"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1,026</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502</w:t>
            </w:r>
          </w:p>
        </w:tc>
        <w:tc>
          <w:tcPr>
            <w:tcW w:w="1383"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138</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66</w:t>
            </w:r>
          </w:p>
        </w:tc>
        <w:tc>
          <w:tcPr>
            <w:tcW w:w="920"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190</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736</w:t>
            </w:r>
          </w:p>
        </w:tc>
        <w:tc>
          <w:tcPr>
            <w:tcW w:w="867" w:type="dxa"/>
            <w:gridSpan w:val="2"/>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130</w:t>
            </w:r>
          </w:p>
        </w:tc>
        <w:tc>
          <w:tcPr>
            <w:tcW w:w="1126"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1,191</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16</w:t>
            </w:r>
          </w:p>
        </w:tc>
        <w:tc>
          <w:tcPr>
            <w:tcW w:w="109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新北市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9</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478</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595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241</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39</w:t>
            </w:r>
          </w:p>
        </w:tc>
        <w:tc>
          <w:tcPr>
            <w:tcW w:w="920"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45</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792</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292</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1,409</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29</w:t>
            </w:r>
          </w:p>
        </w:tc>
        <w:tc>
          <w:tcPr>
            <w:tcW w:w="109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桃園市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285</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375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11</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29</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499</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351</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3,153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proofErr w:type="gramStart"/>
            <w:r w:rsidRPr="005554EF">
              <w:rPr>
                <w:rFonts w:ascii="Times New Roman"/>
                <w:color w:val="000000" w:themeColor="text1"/>
                <w:sz w:val="24"/>
                <w:szCs w:val="24"/>
              </w:rPr>
              <w:t>臺</w:t>
            </w:r>
            <w:proofErr w:type="gramEnd"/>
            <w:r w:rsidRPr="005554EF">
              <w:rPr>
                <w:rFonts w:ascii="Times New Roman"/>
                <w:color w:val="000000" w:themeColor="text1"/>
                <w:sz w:val="24"/>
                <w:szCs w:val="24"/>
              </w:rPr>
              <w:t>中市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63</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706</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492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253</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87</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25</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8</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1,003</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469</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1,103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32</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proofErr w:type="gramStart"/>
            <w:r w:rsidRPr="005554EF">
              <w:rPr>
                <w:rFonts w:ascii="Times New Roman"/>
                <w:color w:val="000000" w:themeColor="text1"/>
                <w:sz w:val="24"/>
                <w:szCs w:val="24"/>
              </w:rPr>
              <w:t>臺</w:t>
            </w:r>
            <w:proofErr w:type="gramEnd"/>
            <w:r w:rsidRPr="005554EF">
              <w:rPr>
                <w:rFonts w:ascii="Times New Roman"/>
                <w:color w:val="000000" w:themeColor="text1"/>
                <w:sz w:val="24"/>
                <w:szCs w:val="24"/>
              </w:rPr>
              <w:t>南市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450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544</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173</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44</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192</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4</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917</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1,893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高雄市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45</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677</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694</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336</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20</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70</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68</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20</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964</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288</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752</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16</w:t>
            </w:r>
          </w:p>
        </w:tc>
        <w:tc>
          <w:tcPr>
            <w:tcW w:w="109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10</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宜蘭縣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162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60</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280</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136</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830</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新竹縣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71</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46</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14</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61</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15</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152</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778</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14</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苗栗縣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45</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84</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87</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24</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117</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498</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彰化縣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42</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25</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381</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300</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120</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36</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60</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4</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340</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138</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840</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南投縣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89</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42</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3</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154</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436</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653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雲林縣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27</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192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165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33</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24</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318</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415</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嘉義縣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93</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158</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29</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153</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55</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372</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屏東縣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90</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49</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92</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215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330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15</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422</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417</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687</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proofErr w:type="gramStart"/>
            <w:r w:rsidRPr="005554EF">
              <w:rPr>
                <w:rFonts w:ascii="Times New Roman"/>
                <w:color w:val="000000" w:themeColor="text1"/>
                <w:sz w:val="24"/>
                <w:szCs w:val="24"/>
              </w:rPr>
              <w:lastRenderedPageBreak/>
              <w:t>臺</w:t>
            </w:r>
            <w:proofErr w:type="gramEnd"/>
            <w:r w:rsidRPr="005554EF">
              <w:rPr>
                <w:rFonts w:ascii="Times New Roman"/>
                <w:color w:val="000000" w:themeColor="text1"/>
                <w:sz w:val="24"/>
                <w:szCs w:val="24"/>
              </w:rPr>
              <w:t>東縣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165</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117</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350</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花蓮縣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43</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79</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63</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62</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28</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121</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45</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362</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澎湖縣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60</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11</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21</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基隆市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32</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103</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65</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174</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新竹市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220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88</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30</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65</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133</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嘉義市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210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61</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113</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46</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62</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金門縣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44</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23</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29</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110</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連江縣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8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383"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67" w:type="dxa"/>
            <w:gridSpan w:val="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shd w:val="clear" w:color="auto" w:fill="F2F2F2" w:themeFill="background1" w:themeFillShade="F2"/>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總計</w:t>
            </w:r>
          </w:p>
        </w:tc>
        <w:tc>
          <w:tcPr>
            <w:tcW w:w="789"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438</w:t>
            </w:r>
          </w:p>
        </w:tc>
        <w:tc>
          <w:tcPr>
            <w:tcW w:w="885"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469</w:t>
            </w:r>
          </w:p>
        </w:tc>
        <w:tc>
          <w:tcPr>
            <w:tcW w:w="867"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5,478</w:t>
            </w:r>
          </w:p>
        </w:tc>
        <w:tc>
          <w:tcPr>
            <w:tcW w:w="984"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4,887</w:t>
            </w:r>
          </w:p>
        </w:tc>
        <w:tc>
          <w:tcPr>
            <w:tcW w:w="1383"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2,916</w:t>
            </w:r>
          </w:p>
        </w:tc>
        <w:tc>
          <w:tcPr>
            <w:tcW w:w="756"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192</w:t>
            </w:r>
          </w:p>
        </w:tc>
        <w:tc>
          <w:tcPr>
            <w:tcW w:w="836"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676</w:t>
            </w:r>
          </w:p>
        </w:tc>
        <w:tc>
          <w:tcPr>
            <w:tcW w:w="920"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760</w:t>
            </w:r>
          </w:p>
        </w:tc>
        <w:tc>
          <w:tcPr>
            <w:tcW w:w="851"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63</w:t>
            </w:r>
          </w:p>
        </w:tc>
        <w:tc>
          <w:tcPr>
            <w:tcW w:w="850"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7,379</w:t>
            </w:r>
          </w:p>
        </w:tc>
        <w:tc>
          <w:tcPr>
            <w:tcW w:w="867" w:type="dxa"/>
            <w:gridSpan w:val="2"/>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2,815</w:t>
            </w:r>
          </w:p>
        </w:tc>
        <w:tc>
          <w:tcPr>
            <w:tcW w:w="1126"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15,800</w:t>
            </w:r>
          </w:p>
        </w:tc>
        <w:tc>
          <w:tcPr>
            <w:tcW w:w="967"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208</w:t>
            </w:r>
          </w:p>
        </w:tc>
        <w:tc>
          <w:tcPr>
            <w:tcW w:w="1095" w:type="dxa"/>
            <w:shd w:val="clear" w:color="auto" w:fill="F2F2F2" w:themeFill="background1" w:themeFillShade="F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w:t>
            </w:r>
            <w:r w:rsidRPr="005554EF">
              <w:rPr>
                <w:rFonts w:ascii="Times New Roman" w:hint="eastAsia"/>
                <w:color w:val="000000" w:themeColor="text1"/>
                <w:sz w:val="24"/>
                <w:szCs w:val="24"/>
              </w:rPr>
              <w:t>8</w:t>
            </w:r>
          </w:p>
        </w:tc>
      </w:tr>
    </w:tbl>
    <w:p w:rsidR="00B27132" w:rsidRPr="005554EF" w:rsidRDefault="00B27132" w:rsidP="00984FC1">
      <w:pPr>
        <w:spacing w:line="340" w:lineRule="exact"/>
        <w:outlineLvl w:val="3"/>
        <w:rPr>
          <w:rFonts w:hAnsi="Arial"/>
          <w:color w:val="000000" w:themeColor="text1"/>
          <w:kern w:val="32"/>
          <w:sz w:val="28"/>
          <w:szCs w:val="36"/>
        </w:rPr>
      </w:pPr>
      <w:proofErr w:type="gramStart"/>
      <w:r w:rsidRPr="005554EF">
        <w:rPr>
          <w:rFonts w:hAnsi="Arial" w:hint="eastAsia"/>
          <w:color w:val="000000" w:themeColor="text1"/>
          <w:kern w:val="32"/>
          <w:sz w:val="28"/>
          <w:szCs w:val="36"/>
        </w:rPr>
        <w:t>註</w:t>
      </w:r>
      <w:proofErr w:type="gramEnd"/>
      <w:r w:rsidRPr="005554EF">
        <w:rPr>
          <w:rFonts w:hAnsi="Arial" w:hint="eastAsia"/>
          <w:color w:val="000000" w:themeColor="text1"/>
          <w:kern w:val="32"/>
          <w:sz w:val="28"/>
          <w:szCs w:val="36"/>
        </w:rPr>
        <w:t>：</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r w:rsidRPr="005554EF">
        <w:rPr>
          <w:rFonts w:hAnsi="Arial" w:hint="eastAsia"/>
          <w:color w:val="000000" w:themeColor="text1"/>
          <w:kern w:val="32"/>
          <w:sz w:val="28"/>
          <w:szCs w:val="36"/>
        </w:rPr>
        <w:t>資料日期：截至111年3月。</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proofErr w:type="gramStart"/>
      <w:r w:rsidRPr="005554EF">
        <w:rPr>
          <w:rFonts w:hAnsi="Arial" w:hint="eastAsia"/>
          <w:color w:val="000000" w:themeColor="text1"/>
          <w:kern w:val="32"/>
          <w:sz w:val="28"/>
          <w:szCs w:val="36"/>
        </w:rPr>
        <w:t>家庭托顧</w:t>
      </w:r>
      <w:proofErr w:type="gramEnd"/>
      <w:r w:rsidRPr="005554EF">
        <w:rPr>
          <w:rFonts w:hAnsi="Arial" w:hint="eastAsia"/>
          <w:color w:val="000000" w:themeColor="text1"/>
          <w:kern w:val="32"/>
          <w:sz w:val="28"/>
          <w:szCs w:val="36"/>
        </w:rPr>
        <w:t>、身心障礙日間照顧機構、住宿式機構、社區居住、日間作業設施（小作所）及社區式日間照顧(含社區樂活補給站)之服務對象含嚴重情緒行為身心障礙者，提供服務人數指該服務之可服務人數。</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r w:rsidRPr="005554EF">
        <w:rPr>
          <w:rFonts w:hAnsi="Arial" w:hint="eastAsia"/>
          <w:color w:val="000000" w:themeColor="text1"/>
          <w:kern w:val="32"/>
          <w:sz w:val="28"/>
          <w:szCs w:val="36"/>
        </w:rPr>
        <w:t>庇護工場、長</w:t>
      </w:r>
      <w:proofErr w:type="gramStart"/>
      <w:r w:rsidRPr="005554EF">
        <w:rPr>
          <w:rFonts w:hAnsi="Arial" w:hint="eastAsia"/>
          <w:color w:val="000000" w:themeColor="text1"/>
          <w:kern w:val="32"/>
          <w:sz w:val="28"/>
          <w:szCs w:val="36"/>
        </w:rPr>
        <w:t>照家托、</w:t>
      </w:r>
      <w:proofErr w:type="gramEnd"/>
      <w:r w:rsidRPr="005554EF">
        <w:rPr>
          <w:rFonts w:hAnsi="Arial" w:hint="eastAsia"/>
          <w:color w:val="000000" w:themeColor="text1"/>
          <w:kern w:val="32"/>
          <w:sz w:val="28"/>
          <w:szCs w:val="36"/>
        </w:rPr>
        <w:t>長照日照、長照機構及團體家屋為提供第一類身心障礙者之服務人數，另團體家屋主要收治對象為中度以上失智（臨床失智評估量表CDR2分以上），且具行動能力或需被照顧之失智症者。</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r w:rsidRPr="005554EF">
        <w:rPr>
          <w:rFonts w:hAnsi="Arial" w:hint="eastAsia"/>
          <w:color w:val="000000" w:themeColor="text1"/>
          <w:kern w:val="32"/>
          <w:sz w:val="28"/>
          <w:szCs w:val="36"/>
        </w:rPr>
        <w:t>資料來源：衛福部。</w:t>
      </w:r>
    </w:p>
    <w:p w:rsidR="00B27132" w:rsidRPr="005554EF" w:rsidRDefault="00B27132" w:rsidP="00B27132">
      <w:pPr>
        <w:outlineLvl w:val="3"/>
        <w:rPr>
          <w:rFonts w:hAnsi="Arial"/>
          <w:b/>
          <w:color w:val="000000" w:themeColor="text1"/>
          <w:kern w:val="32"/>
          <w:szCs w:val="36"/>
        </w:rPr>
      </w:pPr>
    </w:p>
    <w:p w:rsidR="0064315F" w:rsidRPr="005554EF" w:rsidRDefault="0064315F" w:rsidP="0064315F">
      <w:pPr>
        <w:outlineLvl w:val="3"/>
        <w:rPr>
          <w:rFonts w:hAnsi="Arial"/>
          <w:b/>
          <w:color w:val="000000" w:themeColor="text1"/>
          <w:kern w:val="32"/>
          <w:szCs w:val="36"/>
        </w:rPr>
        <w:sectPr w:rsidR="0064315F" w:rsidRPr="005554EF" w:rsidSect="00A90716">
          <w:pgSz w:w="16840" w:h="11907" w:orient="landscape" w:code="9"/>
          <w:pgMar w:top="1418" w:right="1701" w:bottom="1418" w:left="1418" w:header="851" w:footer="851" w:gutter="227"/>
          <w:cols w:space="425"/>
          <w:docGrid w:type="lines" w:linePitch="457" w:charSpace="4127"/>
        </w:sectPr>
      </w:pPr>
    </w:p>
    <w:p w:rsidR="0064315F" w:rsidRPr="005554EF" w:rsidRDefault="0064315F" w:rsidP="001C5555">
      <w:pPr>
        <w:pStyle w:val="4"/>
        <w:rPr>
          <w:color w:val="000000" w:themeColor="text1"/>
        </w:rPr>
      </w:pPr>
      <w:r w:rsidRPr="005554EF">
        <w:rPr>
          <w:rFonts w:hint="eastAsia"/>
          <w:color w:val="000000" w:themeColor="text1"/>
        </w:rPr>
        <w:lastRenderedPageBreak/>
        <w:t>再以身心障礙者安置機構為例，</w:t>
      </w:r>
    </w:p>
    <w:p w:rsidR="0064315F" w:rsidRPr="005554EF" w:rsidRDefault="0064315F" w:rsidP="001C5555">
      <w:pPr>
        <w:pStyle w:val="5"/>
        <w:rPr>
          <w:color w:val="000000" w:themeColor="text1"/>
        </w:rPr>
      </w:pPr>
      <w:r w:rsidRPr="005554EF">
        <w:rPr>
          <w:rFonts w:hint="eastAsia"/>
          <w:color w:val="000000" w:themeColor="text1"/>
        </w:rPr>
        <w:t>立法院提出資料</w:t>
      </w:r>
      <w:r w:rsidRPr="005554EF">
        <w:rPr>
          <w:color w:val="000000" w:themeColor="text1"/>
          <w:vertAlign w:val="superscript"/>
        </w:rPr>
        <w:footnoteReference w:id="12"/>
      </w:r>
      <w:r w:rsidRPr="005554EF">
        <w:rPr>
          <w:rFonts w:hint="eastAsia"/>
          <w:color w:val="000000" w:themeColor="text1"/>
        </w:rPr>
        <w:t>指出，依據衛福部「身心障礙者福利機構概況」統計，我國身心障礙者福利機構家數自102年的276家，至110年第2季已減少至266家，而身心障礙福利機構工作人員數亦從109年的9,438人減少至110年上半年9,410人。經查，110年上半年核定床位數為2萬1,833人，實際安置人數1萬8,186人，仍有身心障礙者無法獲得妥善照顧，相關計畫實有檢討改善之必要。</w:t>
      </w:r>
    </w:p>
    <w:p w:rsidR="0064315F" w:rsidRPr="005554EF" w:rsidRDefault="0064315F" w:rsidP="001C5555">
      <w:pPr>
        <w:pStyle w:val="5"/>
        <w:rPr>
          <w:color w:val="000000" w:themeColor="text1"/>
        </w:rPr>
      </w:pPr>
      <w:r w:rsidRPr="005554EF">
        <w:rPr>
          <w:rFonts w:hint="eastAsia"/>
          <w:color w:val="000000" w:themeColor="text1"/>
        </w:rPr>
        <w:t>衛福</w:t>
      </w:r>
      <w:proofErr w:type="gramStart"/>
      <w:r w:rsidRPr="005554EF">
        <w:rPr>
          <w:rFonts w:hint="eastAsia"/>
          <w:color w:val="000000" w:themeColor="text1"/>
        </w:rPr>
        <w:t>部查復本</w:t>
      </w:r>
      <w:proofErr w:type="gramEnd"/>
      <w:r w:rsidRPr="005554EF">
        <w:rPr>
          <w:rFonts w:hint="eastAsia"/>
          <w:color w:val="000000" w:themeColor="text1"/>
        </w:rPr>
        <w:t>院有關針對</w:t>
      </w:r>
      <w:r w:rsidRPr="005554EF">
        <w:rPr>
          <w:rFonts w:hint="eastAsia"/>
          <w:color w:val="000000" w:themeColor="text1"/>
        </w:rPr>
        <w:tab/>
        <w:t>身心障礙者之全日型安置機構需求及照顧資源提供情形，詳如下表所示，顯見對情緒行為問題障礙者之安置需求，則無特別統計。</w:t>
      </w:r>
    </w:p>
    <w:p w:rsidR="00B27132" w:rsidRPr="00984FC1" w:rsidRDefault="00984FC1" w:rsidP="00984FC1">
      <w:pPr>
        <w:widowControl/>
        <w:overflowPunct/>
        <w:autoSpaceDE/>
        <w:autoSpaceDN/>
        <w:jc w:val="left"/>
        <w:rPr>
          <w:rFonts w:hAnsi="Arial"/>
          <w:bCs/>
          <w:color w:val="000000" w:themeColor="text1"/>
          <w:kern w:val="32"/>
          <w:szCs w:val="36"/>
        </w:rPr>
      </w:pPr>
      <w:r>
        <w:rPr>
          <w:color w:val="000000" w:themeColor="text1"/>
        </w:rPr>
        <w:br w:type="page"/>
      </w:r>
    </w:p>
    <w:p w:rsidR="00B27132" w:rsidRPr="005554EF" w:rsidRDefault="00B27132" w:rsidP="00B27132">
      <w:pPr>
        <w:keepNext/>
        <w:kinsoku w:val="0"/>
        <w:adjustRightInd w:val="0"/>
        <w:snapToGrid w:val="0"/>
        <w:spacing w:before="240" w:after="40" w:line="360" w:lineRule="exact"/>
        <w:ind w:left="480" w:hanging="480"/>
        <w:textAlignment w:val="baseline"/>
        <w:rPr>
          <w:rFonts w:hAnsi="華康楷書體W5(P)"/>
          <w:b/>
          <w:bCs/>
          <w:color w:val="000000" w:themeColor="text1"/>
          <w:spacing w:val="-10"/>
          <w:kern w:val="28"/>
          <w:sz w:val="28"/>
          <w:szCs w:val="28"/>
        </w:rPr>
      </w:pPr>
      <w:bookmarkStart w:id="53" w:name="_Hlk120091434"/>
      <w:bookmarkStart w:id="54" w:name="_Hlk124327407"/>
      <w:r w:rsidRPr="005554EF">
        <w:rPr>
          <w:rFonts w:hAnsi="華康楷書體W5(P)" w:hint="eastAsia"/>
          <w:b/>
          <w:bCs/>
          <w:color w:val="000000" w:themeColor="text1"/>
          <w:spacing w:val="-10"/>
          <w:kern w:val="28"/>
          <w:sz w:val="28"/>
          <w:szCs w:val="28"/>
        </w:rPr>
        <w:lastRenderedPageBreak/>
        <w:t>表4 身心障礙者</w:t>
      </w:r>
      <w:bookmarkEnd w:id="53"/>
      <w:r w:rsidRPr="005554EF">
        <w:rPr>
          <w:rFonts w:hAnsi="華康楷書體W5(P)" w:hint="eastAsia"/>
          <w:b/>
          <w:bCs/>
          <w:color w:val="000000" w:themeColor="text1"/>
          <w:spacing w:val="-10"/>
          <w:kern w:val="28"/>
          <w:sz w:val="28"/>
          <w:szCs w:val="28"/>
        </w:rPr>
        <w:t>之全日型安置機構需求及照顧資源提供情形(包含情緒行為障礙者)</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584"/>
        <w:gridCol w:w="1134"/>
        <w:gridCol w:w="1417"/>
        <w:gridCol w:w="1560"/>
        <w:gridCol w:w="1559"/>
        <w:gridCol w:w="1984"/>
      </w:tblGrid>
      <w:tr w:rsidR="00B27132" w:rsidRPr="005554EF" w:rsidTr="00EB769F">
        <w:trPr>
          <w:trHeight w:val="761"/>
          <w:tblHeader/>
        </w:trPr>
        <w:tc>
          <w:tcPr>
            <w:tcW w:w="1110" w:type="dxa"/>
            <w:shd w:val="clear" w:color="auto" w:fill="F2F2F2" w:themeFill="background1" w:themeFillShade="F2"/>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z w:val="24"/>
                <w:szCs w:val="24"/>
              </w:rPr>
              <w:t>縣市</w:t>
            </w:r>
            <w:r w:rsidRPr="005554EF">
              <w:rPr>
                <w:rFonts w:ascii="Times New Roman"/>
                <w:color w:val="000000" w:themeColor="text1"/>
                <w:spacing w:val="-20"/>
                <w:sz w:val="24"/>
                <w:szCs w:val="24"/>
              </w:rPr>
              <w:t>別</w:t>
            </w:r>
          </w:p>
        </w:tc>
        <w:tc>
          <w:tcPr>
            <w:tcW w:w="1584"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核定提供身心障礙者的服務床位</w:t>
            </w:r>
            <w:r w:rsidRPr="005554EF">
              <w:rPr>
                <w:rFonts w:ascii="Times New Roman"/>
                <w:color w:val="000000" w:themeColor="text1"/>
                <w:spacing w:val="-20"/>
                <w:sz w:val="24"/>
                <w:szCs w:val="24"/>
              </w:rPr>
              <w:t>/</w:t>
            </w:r>
            <w:r w:rsidRPr="005554EF">
              <w:rPr>
                <w:rFonts w:ascii="Times New Roman"/>
                <w:color w:val="000000" w:themeColor="text1"/>
                <w:spacing w:val="-20"/>
                <w:sz w:val="24"/>
                <w:szCs w:val="24"/>
              </w:rPr>
              <w:t>人數</w:t>
            </w:r>
          </w:p>
        </w:tc>
        <w:tc>
          <w:tcPr>
            <w:tcW w:w="1134"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已提供</w:t>
            </w:r>
          </w:p>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服務人數</w:t>
            </w:r>
          </w:p>
        </w:tc>
        <w:tc>
          <w:tcPr>
            <w:tcW w:w="1417"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可以收治情緒行為障礙的床位數</w:t>
            </w:r>
          </w:p>
        </w:tc>
        <w:tc>
          <w:tcPr>
            <w:tcW w:w="1560"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需求人數</w:t>
            </w:r>
          </w:p>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w:t>
            </w:r>
            <w:proofErr w:type="gramStart"/>
            <w:r w:rsidRPr="005554EF">
              <w:rPr>
                <w:rFonts w:ascii="Times New Roman"/>
                <w:color w:val="000000" w:themeColor="text1"/>
                <w:spacing w:val="-20"/>
                <w:sz w:val="24"/>
                <w:szCs w:val="24"/>
              </w:rPr>
              <w:t>註</w:t>
            </w:r>
            <w:proofErr w:type="gramEnd"/>
            <w:r w:rsidRPr="005554EF">
              <w:rPr>
                <w:rFonts w:ascii="Times New Roman"/>
                <w:color w:val="000000" w:themeColor="text1"/>
                <w:spacing w:val="-20"/>
                <w:sz w:val="24"/>
                <w:szCs w:val="24"/>
              </w:rPr>
              <w:t>2)</w:t>
            </w:r>
          </w:p>
        </w:tc>
        <w:tc>
          <w:tcPr>
            <w:tcW w:w="1559"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處理情緒行為障礙的照顧專業人數</w:t>
            </w:r>
            <w:r w:rsidRPr="005554EF">
              <w:rPr>
                <w:rFonts w:ascii="Times New Roman"/>
                <w:color w:val="000000" w:themeColor="text1"/>
                <w:spacing w:val="-20"/>
                <w:sz w:val="24"/>
                <w:szCs w:val="24"/>
              </w:rPr>
              <w:t>(</w:t>
            </w:r>
            <w:proofErr w:type="gramStart"/>
            <w:r w:rsidRPr="005554EF">
              <w:rPr>
                <w:rFonts w:ascii="Times New Roman"/>
                <w:color w:val="000000" w:themeColor="text1"/>
                <w:spacing w:val="-20"/>
                <w:sz w:val="24"/>
                <w:szCs w:val="24"/>
              </w:rPr>
              <w:t>註</w:t>
            </w:r>
            <w:proofErr w:type="gramEnd"/>
            <w:r w:rsidRPr="005554EF">
              <w:rPr>
                <w:rFonts w:ascii="Times New Roman"/>
                <w:color w:val="000000" w:themeColor="text1"/>
                <w:spacing w:val="-20"/>
                <w:sz w:val="24"/>
                <w:szCs w:val="24"/>
              </w:rPr>
              <w:t>3)</w:t>
            </w:r>
          </w:p>
        </w:tc>
        <w:tc>
          <w:tcPr>
            <w:tcW w:w="1984"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未來</w:t>
            </w:r>
            <w:r w:rsidRPr="005554EF">
              <w:rPr>
                <w:rFonts w:ascii="Times New Roman"/>
                <w:color w:val="000000" w:themeColor="text1"/>
                <w:spacing w:val="-20"/>
                <w:sz w:val="24"/>
                <w:szCs w:val="24"/>
              </w:rPr>
              <w:t>(</w:t>
            </w:r>
            <w:r w:rsidRPr="005554EF">
              <w:rPr>
                <w:rFonts w:ascii="Times New Roman"/>
                <w:color w:val="000000" w:themeColor="text1"/>
                <w:spacing w:val="-20"/>
                <w:sz w:val="24"/>
                <w:szCs w:val="24"/>
              </w:rPr>
              <w:t>請註明年度</w:t>
            </w:r>
            <w:r w:rsidRPr="005554EF">
              <w:rPr>
                <w:rFonts w:ascii="Times New Roman"/>
                <w:color w:val="000000" w:themeColor="text1"/>
                <w:spacing w:val="-20"/>
                <w:sz w:val="24"/>
                <w:szCs w:val="24"/>
              </w:rPr>
              <w:t>)</w:t>
            </w:r>
            <w:r w:rsidRPr="005554EF">
              <w:rPr>
                <w:rFonts w:ascii="Times New Roman"/>
                <w:color w:val="000000" w:themeColor="text1"/>
                <w:spacing w:val="-20"/>
                <w:sz w:val="24"/>
                <w:szCs w:val="24"/>
              </w:rPr>
              <w:t>可增加服務人數</w:t>
            </w:r>
          </w:p>
        </w:tc>
      </w:tr>
      <w:tr w:rsidR="00B27132" w:rsidRPr="005554EF" w:rsidTr="00EB769F">
        <w:trPr>
          <w:trHeight w:val="487"/>
        </w:trPr>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臺北市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949</w:t>
            </w:r>
          </w:p>
        </w:tc>
        <w:tc>
          <w:tcPr>
            <w:tcW w:w="1417" w:type="dxa"/>
            <w:vMerge w:val="restart"/>
            <w:vAlign w:val="center"/>
          </w:tcPr>
          <w:p w:rsidR="00B27132" w:rsidRPr="005554EF" w:rsidRDefault="00B27132" w:rsidP="00984FC1">
            <w:pPr>
              <w:widowControl/>
              <w:spacing w:line="290" w:lineRule="exact"/>
              <w:rPr>
                <w:rFonts w:ascii="Times New Roman"/>
                <w:color w:val="000000" w:themeColor="text1"/>
                <w:spacing w:val="-20"/>
                <w:sz w:val="24"/>
                <w:szCs w:val="24"/>
              </w:rPr>
            </w:pPr>
            <w:r w:rsidRPr="005554EF">
              <w:rPr>
                <w:rFonts w:ascii="Times New Roman"/>
                <w:color w:val="000000" w:themeColor="text1"/>
                <w:spacing w:val="-20"/>
                <w:sz w:val="24"/>
                <w:szCs w:val="24"/>
              </w:rPr>
              <w:t>1.</w:t>
            </w:r>
            <w:r w:rsidRPr="005554EF">
              <w:rPr>
                <w:rFonts w:ascii="Times New Roman"/>
                <w:color w:val="000000" w:themeColor="text1"/>
                <w:spacing w:val="-20"/>
                <w:sz w:val="24"/>
                <w:szCs w:val="24"/>
              </w:rPr>
              <w:t>身心障礙福利機構收容對象為領有身障證明且符合各機構收案標準者，亦包含情緒行為身心障礙者。</w:t>
            </w:r>
          </w:p>
          <w:p w:rsidR="00B27132" w:rsidRPr="005554EF" w:rsidRDefault="00B27132" w:rsidP="00984FC1">
            <w:pPr>
              <w:widowControl/>
              <w:spacing w:line="290" w:lineRule="exact"/>
              <w:rPr>
                <w:rFonts w:ascii="Times New Roman"/>
                <w:color w:val="000000" w:themeColor="text1"/>
                <w:spacing w:val="-20"/>
                <w:sz w:val="24"/>
                <w:szCs w:val="24"/>
              </w:rPr>
            </w:pPr>
            <w:r w:rsidRPr="005554EF">
              <w:rPr>
                <w:rFonts w:ascii="Times New Roman"/>
                <w:color w:val="000000" w:themeColor="text1"/>
                <w:spacing w:val="-20"/>
                <w:sz w:val="24"/>
                <w:szCs w:val="24"/>
              </w:rPr>
              <w:t>2.</w:t>
            </w:r>
            <w:proofErr w:type="gramStart"/>
            <w:r w:rsidRPr="005554EF">
              <w:rPr>
                <w:rFonts w:ascii="Times New Roman"/>
                <w:color w:val="000000" w:themeColor="text1"/>
                <w:spacing w:val="-20"/>
                <w:sz w:val="24"/>
                <w:szCs w:val="24"/>
              </w:rPr>
              <w:t>衛福部以加強</w:t>
            </w:r>
            <w:proofErr w:type="gramEnd"/>
            <w:r w:rsidRPr="005554EF">
              <w:rPr>
                <w:rFonts w:ascii="Times New Roman"/>
                <w:color w:val="000000" w:themeColor="text1"/>
                <w:spacing w:val="-20"/>
                <w:sz w:val="24"/>
                <w:szCs w:val="24"/>
              </w:rPr>
              <w:t>照顧服務費及專業團隊進入機構輔導，以支持機構服務嚴重情緒行為個案。</w:t>
            </w: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1,574</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581</w:t>
            </w:r>
          </w:p>
        </w:tc>
        <w:tc>
          <w:tcPr>
            <w:tcW w:w="1984" w:type="dxa"/>
            <w:vAlign w:val="center"/>
          </w:tcPr>
          <w:p w:rsidR="00B27132" w:rsidRPr="005554EF" w:rsidRDefault="00B27132" w:rsidP="00984FC1">
            <w:pPr>
              <w:widowControl/>
              <w:spacing w:line="290" w:lineRule="exact"/>
              <w:jc w:val="center"/>
              <w:rPr>
                <w:rFonts w:ascii="Times New Roman"/>
                <w:color w:val="000000" w:themeColor="text1"/>
                <w:sz w:val="24"/>
                <w:szCs w:val="24"/>
              </w:rPr>
            </w:pPr>
            <w:r w:rsidRPr="005554EF">
              <w:rPr>
                <w:rFonts w:ascii="Times New Roman"/>
                <w:color w:val="000000" w:themeColor="text1"/>
                <w:sz w:val="24"/>
                <w:szCs w:val="24"/>
              </w:rPr>
              <w:t>65</w:t>
            </w:r>
          </w:p>
          <w:p w:rsidR="00B27132" w:rsidRPr="005554EF" w:rsidRDefault="00B27132" w:rsidP="00984FC1">
            <w:pPr>
              <w:widowControl/>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rPr>
          <w:trHeight w:val="269"/>
        </w:trPr>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新北市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1,389</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1,086</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2,310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515</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桃園市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2,407</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1,938</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1,376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884</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169</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12</w:t>
            </w:r>
            <w:r w:rsidRPr="005554EF">
              <w:rPr>
                <w:rFonts w:ascii="Times New Roman"/>
                <w:color w:val="000000" w:themeColor="text1"/>
                <w:sz w:val="24"/>
                <w:szCs w:val="24"/>
              </w:rPr>
              <w:t>人、</w:t>
            </w: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99</w:t>
            </w:r>
            <w:r w:rsidRPr="005554EF">
              <w:rPr>
                <w:rFonts w:ascii="Times New Roman"/>
                <w:color w:val="000000" w:themeColor="text1"/>
                <w:sz w:val="24"/>
                <w:szCs w:val="24"/>
              </w:rPr>
              <w:t>人、</w:t>
            </w:r>
            <w:r w:rsidRPr="005554EF">
              <w:rPr>
                <w:rFonts w:ascii="Times New Roman"/>
                <w:color w:val="000000" w:themeColor="text1"/>
                <w:sz w:val="24"/>
                <w:szCs w:val="24"/>
              </w:rPr>
              <w:t>115</w:t>
            </w:r>
            <w:r w:rsidRPr="005554EF">
              <w:rPr>
                <w:rFonts w:ascii="Times New Roman"/>
                <w:color w:val="000000" w:themeColor="text1"/>
                <w:sz w:val="24"/>
                <w:szCs w:val="24"/>
              </w:rPr>
              <w:t>年</w:t>
            </w:r>
            <w:r w:rsidRPr="005554EF">
              <w:rPr>
                <w:rFonts w:ascii="Times New Roman"/>
                <w:color w:val="000000" w:themeColor="text1"/>
                <w:sz w:val="24"/>
                <w:szCs w:val="24"/>
              </w:rPr>
              <w:t>58</w:t>
            </w:r>
            <w:r w:rsidRPr="005554EF">
              <w:rPr>
                <w:rFonts w:ascii="Times New Roman"/>
                <w:color w:val="000000" w:themeColor="text1"/>
                <w:sz w:val="24"/>
                <w:szCs w:val="24"/>
              </w:rPr>
              <w:t>人</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proofErr w:type="gramStart"/>
            <w:r w:rsidRPr="005554EF">
              <w:rPr>
                <w:rFonts w:ascii="Times New Roman"/>
                <w:color w:val="000000" w:themeColor="text1"/>
                <w:spacing w:val="-20"/>
                <w:sz w:val="24"/>
                <w:szCs w:val="24"/>
              </w:rPr>
              <w:t>臺</w:t>
            </w:r>
            <w:proofErr w:type="gramEnd"/>
            <w:r w:rsidRPr="005554EF">
              <w:rPr>
                <w:rFonts w:ascii="Times New Roman"/>
                <w:color w:val="000000" w:themeColor="text1"/>
                <w:spacing w:val="-20"/>
                <w:sz w:val="24"/>
                <w:szCs w:val="24"/>
              </w:rPr>
              <w:t>中市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1,031</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790</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1,761</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480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proofErr w:type="gramStart"/>
            <w:r w:rsidRPr="005554EF">
              <w:rPr>
                <w:rFonts w:ascii="Times New Roman"/>
                <w:color w:val="000000" w:themeColor="text1"/>
                <w:spacing w:val="-20"/>
                <w:sz w:val="24"/>
                <w:szCs w:val="24"/>
              </w:rPr>
              <w:t>臺</w:t>
            </w:r>
            <w:proofErr w:type="gramEnd"/>
            <w:r w:rsidRPr="005554EF">
              <w:rPr>
                <w:rFonts w:ascii="Times New Roman"/>
                <w:color w:val="000000" w:themeColor="text1"/>
                <w:spacing w:val="-20"/>
                <w:sz w:val="24"/>
                <w:szCs w:val="24"/>
              </w:rPr>
              <w:t>南市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2,639</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2,157</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1,230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959</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高雄市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752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680</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1,742</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355</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宜蘭縣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830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640</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386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318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60</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新竹縣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778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657</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358</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287</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苗栗縣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508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436</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485</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206</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彰化縣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840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753</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1,023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360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南投縣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653</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619</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407</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300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54</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雲林縣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415</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398</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588</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203</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99</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嘉義縣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376</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329</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500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221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22</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屏東縣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687</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528</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653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241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212</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w:t>
            </w:r>
            <w:r w:rsidRPr="005554EF">
              <w:rPr>
                <w:rFonts w:ascii="Times New Roman"/>
                <w:color w:val="000000" w:themeColor="text1"/>
                <w:sz w:val="24"/>
                <w:szCs w:val="24"/>
              </w:rPr>
              <w:t>年</w:t>
            </w:r>
            <w:r w:rsidRPr="005554EF">
              <w:rPr>
                <w:rFonts w:ascii="Times New Roman"/>
                <w:color w:val="000000" w:themeColor="text1"/>
                <w:sz w:val="24"/>
                <w:szCs w:val="24"/>
              </w:rPr>
              <w:t>120</w:t>
            </w:r>
            <w:r w:rsidRPr="005554EF">
              <w:rPr>
                <w:rFonts w:ascii="Times New Roman"/>
                <w:color w:val="000000" w:themeColor="text1"/>
                <w:sz w:val="24"/>
                <w:szCs w:val="24"/>
              </w:rPr>
              <w:t>人、</w:t>
            </w:r>
            <w:r w:rsidRPr="005554EF">
              <w:rPr>
                <w:rFonts w:ascii="Times New Roman"/>
                <w:color w:val="000000" w:themeColor="text1"/>
                <w:sz w:val="24"/>
                <w:szCs w:val="24"/>
              </w:rPr>
              <w:t>114</w:t>
            </w:r>
            <w:r w:rsidRPr="005554EF">
              <w:rPr>
                <w:rFonts w:ascii="Times New Roman"/>
                <w:color w:val="000000" w:themeColor="text1"/>
                <w:sz w:val="24"/>
                <w:szCs w:val="24"/>
              </w:rPr>
              <w:t>年</w:t>
            </w:r>
            <w:r w:rsidRPr="005554EF">
              <w:rPr>
                <w:rFonts w:ascii="Times New Roman"/>
                <w:color w:val="000000" w:themeColor="text1"/>
                <w:sz w:val="24"/>
                <w:szCs w:val="24"/>
              </w:rPr>
              <w:t>92</w:t>
            </w:r>
            <w:r w:rsidRPr="005554EF">
              <w:rPr>
                <w:rFonts w:ascii="Times New Roman"/>
                <w:color w:val="000000" w:themeColor="text1"/>
                <w:sz w:val="24"/>
                <w:szCs w:val="24"/>
              </w:rPr>
              <w:t>人</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proofErr w:type="gramStart"/>
            <w:r w:rsidRPr="005554EF">
              <w:rPr>
                <w:rFonts w:ascii="Times New Roman"/>
                <w:color w:val="000000" w:themeColor="text1"/>
                <w:spacing w:val="-20"/>
                <w:sz w:val="24"/>
                <w:szCs w:val="24"/>
              </w:rPr>
              <w:t>臺</w:t>
            </w:r>
            <w:proofErr w:type="gramEnd"/>
            <w:r w:rsidRPr="005554EF">
              <w:rPr>
                <w:rFonts w:ascii="Times New Roman"/>
                <w:color w:val="000000" w:themeColor="text1"/>
                <w:spacing w:val="-20"/>
                <w:sz w:val="24"/>
                <w:szCs w:val="24"/>
              </w:rPr>
              <w:t>東縣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320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273</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247</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花蓮縣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362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262</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346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147</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64</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澎湖縣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35</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19</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基隆市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174</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159</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271</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198</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(116</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新竹市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87</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嘉義市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62</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181</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68</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(115</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金門縣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103</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連江縣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總計</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15,588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12,925</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15,870</w:t>
            </w:r>
          </w:p>
        </w:tc>
        <w:tc>
          <w:tcPr>
            <w:tcW w:w="1559" w:type="dxa"/>
            <w:vAlign w:val="center"/>
          </w:tcPr>
          <w:p w:rsidR="00B27132" w:rsidRPr="005554EF" w:rsidRDefault="00B27132" w:rsidP="00984FC1">
            <w:pPr>
              <w:widowControl/>
              <w:spacing w:line="290" w:lineRule="exact"/>
              <w:jc w:val="center"/>
              <w:rPr>
                <w:rFonts w:ascii="Times New Roman"/>
                <w:color w:val="000000" w:themeColor="text1"/>
                <w:sz w:val="24"/>
                <w:szCs w:val="24"/>
              </w:rPr>
            </w:pPr>
            <w:r w:rsidRPr="005554EF">
              <w:rPr>
                <w:rFonts w:ascii="Times New Roman"/>
                <w:color w:val="000000" w:themeColor="text1"/>
                <w:sz w:val="24"/>
                <w:szCs w:val="24"/>
              </w:rPr>
              <w:t>6,433</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1,058</w:t>
            </w:r>
          </w:p>
        </w:tc>
      </w:tr>
    </w:tbl>
    <w:p w:rsidR="00B27132" w:rsidRPr="005554EF" w:rsidRDefault="00B27132" w:rsidP="00B27132">
      <w:pPr>
        <w:spacing w:line="300" w:lineRule="exact"/>
        <w:ind w:leftChars="-208" w:left="3" w:hangingChars="237" w:hanging="711"/>
        <w:outlineLvl w:val="3"/>
        <w:rPr>
          <w:rFonts w:hAnsi="Arial"/>
          <w:color w:val="000000" w:themeColor="text1"/>
          <w:kern w:val="32"/>
          <w:sz w:val="28"/>
          <w:szCs w:val="28"/>
        </w:rPr>
      </w:pPr>
      <w:proofErr w:type="gramStart"/>
      <w:r w:rsidRPr="005554EF">
        <w:rPr>
          <w:rFonts w:hAnsi="Arial" w:hint="eastAsia"/>
          <w:color w:val="000000" w:themeColor="text1"/>
          <w:kern w:val="32"/>
          <w:sz w:val="28"/>
          <w:szCs w:val="28"/>
        </w:rPr>
        <w:lastRenderedPageBreak/>
        <w:t>註</w:t>
      </w:r>
      <w:proofErr w:type="gramEnd"/>
      <w:r w:rsidRPr="005554EF">
        <w:rPr>
          <w:rFonts w:hAnsi="Arial" w:hint="eastAsia"/>
          <w:color w:val="000000" w:themeColor="text1"/>
          <w:kern w:val="32"/>
          <w:sz w:val="28"/>
          <w:szCs w:val="28"/>
        </w:rPr>
        <w:t>：</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身心障礙福利機構收容對象為領有身障證明且符合各機構收案標準者，亦包含情緒行為身心障礙者，故列出22縣市截至110年12月底之全日型機構數據。</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需求人數係以有使用住宿式服務需求者進行推估，以18至64歲智能障礙者及自閉症者，無法完全獨立自我照顧</w:t>
      </w:r>
      <w:proofErr w:type="gramStart"/>
      <w:r w:rsidRPr="005554EF">
        <w:rPr>
          <w:rFonts w:hAnsi="Arial" w:hint="eastAsia"/>
          <w:color w:val="000000" w:themeColor="text1"/>
          <w:kern w:val="32"/>
          <w:sz w:val="28"/>
          <w:szCs w:val="28"/>
        </w:rPr>
        <w:t>（</w:t>
      </w:r>
      <w:proofErr w:type="gramEnd"/>
      <w:r w:rsidRPr="005554EF">
        <w:rPr>
          <w:rFonts w:hAnsi="Arial" w:hint="eastAsia"/>
          <w:color w:val="000000" w:themeColor="text1"/>
          <w:kern w:val="32"/>
          <w:sz w:val="28"/>
          <w:szCs w:val="28"/>
        </w:rPr>
        <w:t>56.41%)、且需使用住宿式照顧服務</w:t>
      </w:r>
      <w:proofErr w:type="gramStart"/>
      <w:r w:rsidRPr="005554EF">
        <w:rPr>
          <w:rFonts w:hAnsi="Arial" w:hint="eastAsia"/>
          <w:color w:val="000000" w:themeColor="text1"/>
          <w:kern w:val="32"/>
          <w:sz w:val="28"/>
          <w:szCs w:val="28"/>
        </w:rPr>
        <w:t>（</w:t>
      </w:r>
      <w:proofErr w:type="gramEnd"/>
      <w:r w:rsidRPr="005554EF">
        <w:rPr>
          <w:rFonts w:hAnsi="Arial" w:hint="eastAsia"/>
          <w:color w:val="000000" w:themeColor="text1"/>
          <w:kern w:val="32"/>
          <w:sz w:val="28"/>
          <w:szCs w:val="28"/>
        </w:rPr>
        <w:t>25%)進行推估。</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處理嚴重情緒行為個案須透過專業團隊工作，團隊成員包含教保員、生活服務員、社工人員、護理人員及治療師、營養師等其他</w:t>
      </w:r>
      <w:proofErr w:type="gramStart"/>
      <w:r w:rsidRPr="005554EF">
        <w:rPr>
          <w:rFonts w:hAnsi="Arial" w:hint="eastAsia"/>
          <w:color w:val="000000" w:themeColor="text1"/>
          <w:kern w:val="32"/>
          <w:sz w:val="28"/>
          <w:szCs w:val="28"/>
        </w:rPr>
        <w:t>醫</w:t>
      </w:r>
      <w:proofErr w:type="gramEnd"/>
      <w:r w:rsidRPr="005554EF">
        <w:rPr>
          <w:rFonts w:hAnsi="Arial" w:hint="eastAsia"/>
          <w:color w:val="000000" w:themeColor="text1"/>
          <w:kern w:val="32"/>
          <w:sz w:val="28"/>
          <w:szCs w:val="28"/>
        </w:rPr>
        <w:t>事人員，故提供截至110年12月底之全日型機構內之前</w:t>
      </w:r>
      <w:proofErr w:type="gramStart"/>
      <w:r w:rsidRPr="005554EF">
        <w:rPr>
          <w:rFonts w:hAnsi="Arial" w:hint="eastAsia"/>
          <w:color w:val="000000" w:themeColor="text1"/>
          <w:kern w:val="32"/>
          <w:sz w:val="28"/>
          <w:szCs w:val="28"/>
        </w:rPr>
        <w:t>揭</w:t>
      </w:r>
      <w:proofErr w:type="gramEnd"/>
      <w:r w:rsidRPr="005554EF">
        <w:rPr>
          <w:rFonts w:hAnsi="Arial" w:hint="eastAsia"/>
          <w:color w:val="000000" w:themeColor="text1"/>
          <w:kern w:val="32"/>
          <w:sz w:val="28"/>
          <w:szCs w:val="28"/>
        </w:rPr>
        <w:t>專業人員數。</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資料來源：衛福部。</w:t>
      </w:r>
    </w:p>
    <w:p w:rsidR="00B27132" w:rsidRPr="005554EF" w:rsidRDefault="00B27132" w:rsidP="00B27132">
      <w:pPr>
        <w:spacing w:line="300" w:lineRule="exact"/>
        <w:ind w:left="-284"/>
        <w:outlineLvl w:val="3"/>
        <w:rPr>
          <w:rFonts w:hAnsi="Arial"/>
          <w:color w:val="000000" w:themeColor="text1"/>
          <w:kern w:val="32"/>
          <w:sz w:val="28"/>
          <w:szCs w:val="28"/>
        </w:rPr>
      </w:pPr>
    </w:p>
    <w:bookmarkEnd w:id="54"/>
    <w:p w:rsidR="0064315F" w:rsidRPr="005554EF" w:rsidRDefault="0064315F" w:rsidP="001C5555">
      <w:pPr>
        <w:pStyle w:val="5"/>
        <w:rPr>
          <w:color w:val="000000" w:themeColor="text1"/>
        </w:rPr>
      </w:pPr>
      <w:r w:rsidRPr="005554EF">
        <w:rPr>
          <w:rFonts w:hint="eastAsia"/>
          <w:color w:val="000000" w:themeColor="text1"/>
        </w:rPr>
        <w:t>由上述資料可知，現行全日型住宿機構已不足以滿足一般身心障礙者，具有</w:t>
      </w:r>
      <w:r w:rsidRPr="005554EF">
        <w:rPr>
          <w:rFonts w:hint="eastAsia"/>
          <w:color w:val="000000" w:themeColor="text1"/>
        </w:rPr>
        <w:tab/>
        <w:t>情緒行為問題之身心障礙者入住安置機構也發生困境，且因</w:t>
      </w:r>
      <w:proofErr w:type="gramStart"/>
      <w:r w:rsidRPr="005554EF">
        <w:rPr>
          <w:rFonts w:hint="eastAsia"/>
          <w:color w:val="000000" w:themeColor="text1"/>
        </w:rPr>
        <w:t>衛福部對情緒</w:t>
      </w:r>
      <w:proofErr w:type="gramEnd"/>
      <w:r w:rsidRPr="005554EF">
        <w:rPr>
          <w:rFonts w:hint="eastAsia"/>
          <w:color w:val="000000" w:themeColor="text1"/>
        </w:rPr>
        <w:t>行為問題障礙者之人數未能掌握，也無需求評估，不但社區自立生活資源配置猶仍不足，多數仰賴家長自己尋找資源連結，致認知障礙及情緒行為困擾的自閉症障礙者只能被迫選擇機構或接受某項特定服務，在</w:t>
      </w:r>
      <w:proofErr w:type="gramStart"/>
      <w:r w:rsidRPr="005554EF">
        <w:rPr>
          <w:rFonts w:hint="eastAsia"/>
          <w:color w:val="000000" w:themeColor="text1"/>
        </w:rPr>
        <w:t>在凸</w:t>
      </w:r>
      <w:proofErr w:type="gramEnd"/>
      <w:r w:rsidRPr="005554EF">
        <w:rPr>
          <w:rFonts w:hint="eastAsia"/>
          <w:color w:val="000000" w:themeColor="text1"/>
        </w:rPr>
        <w:t>顯嚴重情緒行為障礙者之各種資源的個別化支持、可及性和即時性仍然無法到位。另有身心障礙者難以離開機構，其原因為社會排除與社會保障不足，與</w:t>
      </w:r>
      <w:r w:rsidRPr="005554EF">
        <w:rPr>
          <w:color w:val="000000" w:themeColor="text1"/>
        </w:rPr>
        <w:t>CRPD</w:t>
      </w:r>
      <w:r w:rsidRPr="005554EF">
        <w:rPr>
          <w:rFonts w:hint="eastAsia"/>
          <w:color w:val="000000" w:themeColor="text1"/>
        </w:rPr>
        <w:t>自立生活意旨不符。</w:t>
      </w:r>
    </w:p>
    <w:p w:rsidR="0064315F" w:rsidRPr="005554EF" w:rsidRDefault="0064315F" w:rsidP="001C5555">
      <w:pPr>
        <w:pStyle w:val="3"/>
        <w:rPr>
          <w:color w:val="000000" w:themeColor="text1"/>
        </w:rPr>
      </w:pPr>
      <w:bookmarkStart w:id="55" w:name="_Toc120783849"/>
      <w:bookmarkStart w:id="56" w:name="_Toc124325925"/>
      <w:r w:rsidRPr="005554EF">
        <w:rPr>
          <w:rFonts w:hAnsi="標楷體" w:hint="eastAsia"/>
          <w:b/>
          <w:color w:val="000000" w:themeColor="text1"/>
        </w:rPr>
        <w:t>「</w:t>
      </w:r>
      <w:r w:rsidRPr="005554EF">
        <w:rPr>
          <w:rFonts w:hint="eastAsia"/>
          <w:b/>
          <w:color w:val="000000" w:themeColor="text1"/>
        </w:rPr>
        <w:t>監察院國家人權委員會就身心障礙者權利公約(CRPD)第二次國家報告之獨立評估意見</w:t>
      </w:r>
      <w:r w:rsidRPr="005554EF">
        <w:rPr>
          <w:rFonts w:hAnsi="標楷體" w:hint="eastAsia"/>
          <w:b/>
          <w:color w:val="000000" w:themeColor="text1"/>
        </w:rPr>
        <w:t>」</w:t>
      </w:r>
      <w:r w:rsidRPr="005554EF">
        <w:rPr>
          <w:rFonts w:hint="eastAsia"/>
          <w:color w:val="000000" w:themeColor="text1"/>
        </w:rPr>
        <w:t>指出：</w:t>
      </w:r>
      <w:r w:rsidRPr="005554EF">
        <w:rPr>
          <w:rFonts w:hAnsi="標楷體" w:hint="eastAsia"/>
          <w:color w:val="000000" w:themeColor="text1"/>
        </w:rPr>
        <w:t>「</w:t>
      </w:r>
      <w:r w:rsidRPr="005554EF">
        <w:rPr>
          <w:rFonts w:hint="eastAsia"/>
          <w:color w:val="000000" w:themeColor="text1"/>
        </w:rPr>
        <w:t>從監察院的調查，指出身心障礙者在行政部門層層的作業關卡之下，相關福利服務需求已被低估、失真，完成需求評估後卻又</w:t>
      </w:r>
      <w:proofErr w:type="gramStart"/>
      <w:r w:rsidRPr="005554EF">
        <w:rPr>
          <w:rFonts w:hint="eastAsia"/>
          <w:color w:val="000000" w:themeColor="text1"/>
        </w:rPr>
        <w:t>囿於付</w:t>
      </w:r>
      <w:proofErr w:type="gramEnd"/>
      <w:r w:rsidRPr="005554EF">
        <w:rPr>
          <w:rFonts w:hint="eastAsia"/>
          <w:color w:val="000000" w:themeColor="text1"/>
        </w:rPr>
        <w:t>費機制、交通障礙、補助條件、申請程序繁雜、服務可近性與量能不足等因素，造成有需求者無法使用服務的障礙，面臨</w:t>
      </w:r>
      <w:r w:rsidRPr="005554EF">
        <w:rPr>
          <w:rFonts w:hAnsi="標楷體" w:hint="eastAsia"/>
          <w:color w:val="000000" w:themeColor="text1"/>
        </w:rPr>
        <w:t>『</w:t>
      </w:r>
      <w:r w:rsidRPr="005554EF">
        <w:rPr>
          <w:rFonts w:hint="eastAsia"/>
          <w:color w:val="000000" w:themeColor="text1"/>
        </w:rPr>
        <w:t>看得到卻吃不到</w:t>
      </w:r>
      <w:r w:rsidRPr="005554EF">
        <w:rPr>
          <w:rFonts w:hAnsi="標楷體" w:hint="eastAsia"/>
          <w:color w:val="000000" w:themeColor="text1"/>
        </w:rPr>
        <w:t>』</w:t>
      </w:r>
      <w:r w:rsidRPr="005554EF">
        <w:rPr>
          <w:rFonts w:hint="eastAsia"/>
          <w:color w:val="000000" w:themeColor="text1"/>
        </w:rPr>
        <w:t>的窘況，</w:t>
      </w:r>
      <w:r w:rsidRPr="005554EF">
        <w:rPr>
          <w:rFonts w:hAnsi="標楷體" w:hint="eastAsia"/>
          <w:color w:val="000000" w:themeColor="text1"/>
        </w:rPr>
        <w:t>『</w:t>
      </w:r>
      <w:r w:rsidRPr="005554EF">
        <w:rPr>
          <w:rFonts w:hint="eastAsia"/>
          <w:color w:val="000000" w:themeColor="text1"/>
        </w:rPr>
        <w:t>社區式日間照顧</w:t>
      </w:r>
      <w:r w:rsidRPr="005554EF">
        <w:rPr>
          <w:rFonts w:hAnsi="標楷體" w:hint="eastAsia"/>
          <w:color w:val="000000" w:themeColor="text1"/>
        </w:rPr>
        <w:t>』</w:t>
      </w:r>
      <w:r w:rsidRPr="005554EF">
        <w:rPr>
          <w:rFonts w:hint="eastAsia"/>
          <w:color w:val="000000" w:themeColor="text1"/>
        </w:rPr>
        <w:t>及</w:t>
      </w:r>
      <w:r w:rsidRPr="005554EF">
        <w:rPr>
          <w:rFonts w:hAnsi="標楷體" w:hint="eastAsia"/>
          <w:color w:val="000000" w:themeColor="text1"/>
        </w:rPr>
        <w:t>『</w:t>
      </w:r>
      <w:r w:rsidRPr="005554EF">
        <w:rPr>
          <w:rFonts w:hint="eastAsia"/>
          <w:color w:val="000000" w:themeColor="text1"/>
        </w:rPr>
        <w:t>自立生活支持服務</w:t>
      </w:r>
      <w:r w:rsidRPr="005554EF">
        <w:rPr>
          <w:rFonts w:hAnsi="標楷體" w:hint="eastAsia"/>
          <w:color w:val="000000" w:themeColor="text1"/>
        </w:rPr>
        <w:t>』</w:t>
      </w:r>
      <w:r w:rsidRPr="005554EF">
        <w:rPr>
          <w:rFonts w:hint="eastAsia"/>
          <w:color w:val="000000" w:themeColor="text1"/>
        </w:rPr>
        <w:t>整體使用比率偏低；進一步請中央主管機關衛福部提供統計資料，發現西元2017年</w:t>
      </w:r>
      <w:r w:rsidRPr="005554EF">
        <w:rPr>
          <w:rFonts w:hint="eastAsia"/>
          <w:color w:val="000000" w:themeColor="text1"/>
        </w:rPr>
        <w:lastRenderedPageBreak/>
        <w:t>至西元2019年身心障礙者使用社區式服務涵蓋率不及3％。</w:t>
      </w:r>
      <w:r w:rsidRPr="005554EF">
        <w:rPr>
          <w:rFonts w:hAnsi="標楷體" w:hint="eastAsia"/>
          <w:color w:val="000000" w:themeColor="text1"/>
        </w:rPr>
        <w:t>」</w:t>
      </w:r>
      <w:r w:rsidRPr="005554EF">
        <w:rPr>
          <w:rFonts w:hAnsi="標楷體"/>
          <w:color w:val="000000" w:themeColor="text1"/>
          <w:vertAlign w:val="superscript"/>
        </w:rPr>
        <w:footnoteReference w:id="13"/>
      </w:r>
      <w:bookmarkEnd w:id="55"/>
      <w:bookmarkEnd w:id="56"/>
    </w:p>
    <w:p w:rsidR="0064315F" w:rsidRPr="005554EF" w:rsidRDefault="0064315F" w:rsidP="001C5555">
      <w:pPr>
        <w:pStyle w:val="3"/>
        <w:rPr>
          <w:color w:val="000000" w:themeColor="text1"/>
        </w:rPr>
      </w:pPr>
      <w:bookmarkStart w:id="57" w:name="_Toc120783850"/>
      <w:bookmarkStart w:id="58" w:name="_Toc124325926"/>
      <w:r w:rsidRPr="005554EF">
        <w:rPr>
          <w:rFonts w:hint="eastAsia"/>
          <w:b/>
          <w:color w:val="000000" w:themeColor="text1"/>
        </w:rPr>
        <w:t>行政院允應加強督導衛福部積極辦理改善</w:t>
      </w:r>
      <w:r w:rsidRPr="005554EF">
        <w:rPr>
          <w:rFonts w:hint="eastAsia"/>
          <w:color w:val="000000" w:themeColor="text1"/>
        </w:rPr>
        <w:t>：</w:t>
      </w:r>
      <w:bookmarkEnd w:id="57"/>
      <w:bookmarkEnd w:id="58"/>
    </w:p>
    <w:p w:rsidR="0064315F" w:rsidRPr="005554EF" w:rsidRDefault="0064315F" w:rsidP="001C5555">
      <w:pPr>
        <w:pStyle w:val="4"/>
        <w:rPr>
          <w:color w:val="000000" w:themeColor="text1"/>
        </w:rPr>
      </w:pPr>
      <w:r w:rsidRPr="005554EF">
        <w:rPr>
          <w:rFonts w:hint="eastAsia"/>
          <w:color w:val="000000" w:themeColor="text1"/>
        </w:rPr>
        <w:t>行政院為推動身心障礙者權益保障政策，特設身心障礙者權益推動小組，任務為：(1)身心障礙者權利公約施行法第6條第1項所定事項。(2)涉及身心障礙者權益保障相關事項，經主管機關協調機制處理後，仍需協調之重大事項處理。(2)重要身心障礙者權益保障政策及重大措施，經行政院指示之跨部會</w:t>
      </w:r>
      <w:proofErr w:type="gramStart"/>
      <w:r w:rsidRPr="005554EF">
        <w:rPr>
          <w:rFonts w:hint="eastAsia"/>
          <w:color w:val="000000" w:themeColor="text1"/>
        </w:rPr>
        <w:t>研</w:t>
      </w:r>
      <w:proofErr w:type="gramEnd"/>
      <w:r w:rsidRPr="005554EF">
        <w:rPr>
          <w:rFonts w:hint="eastAsia"/>
          <w:color w:val="000000" w:themeColor="text1"/>
        </w:rPr>
        <w:t>商及推動。(4)其他有關重大身心障礙者權益保障之協調及推動事項</w:t>
      </w:r>
      <w:r w:rsidRPr="005554EF">
        <w:rPr>
          <w:color w:val="000000" w:themeColor="text1"/>
          <w:vertAlign w:val="superscript"/>
        </w:rPr>
        <w:footnoteReference w:id="14"/>
      </w:r>
      <w:r w:rsidRPr="005554EF">
        <w:rPr>
          <w:rFonts w:hint="eastAsia"/>
          <w:color w:val="000000" w:themeColor="text1"/>
        </w:rPr>
        <w:t>。該小組定期召開會議，就各種身心障礙服務措施進行</w:t>
      </w:r>
      <w:proofErr w:type="gramStart"/>
      <w:r w:rsidRPr="005554EF">
        <w:rPr>
          <w:rFonts w:hint="eastAsia"/>
          <w:color w:val="000000" w:themeColor="text1"/>
        </w:rPr>
        <w:t>研</w:t>
      </w:r>
      <w:proofErr w:type="gramEnd"/>
      <w:r w:rsidRPr="005554EF">
        <w:rPr>
          <w:rFonts w:hint="eastAsia"/>
          <w:color w:val="000000" w:themeColor="text1"/>
        </w:rPr>
        <w:t>議討論。</w:t>
      </w:r>
    </w:p>
    <w:p w:rsidR="0064315F" w:rsidRPr="005554EF" w:rsidRDefault="0064315F" w:rsidP="001C5555">
      <w:pPr>
        <w:pStyle w:val="4"/>
        <w:rPr>
          <w:color w:val="000000" w:themeColor="text1"/>
        </w:rPr>
      </w:pPr>
      <w:proofErr w:type="gramStart"/>
      <w:r w:rsidRPr="005554EF">
        <w:rPr>
          <w:rFonts w:hint="eastAsia"/>
          <w:color w:val="000000" w:themeColor="text1"/>
        </w:rPr>
        <w:t>詢</w:t>
      </w:r>
      <w:proofErr w:type="gramEnd"/>
      <w:r w:rsidRPr="005554EF">
        <w:rPr>
          <w:rFonts w:hint="eastAsia"/>
          <w:color w:val="000000" w:themeColor="text1"/>
        </w:rPr>
        <w:t>據行政院林萬億政務委員表示：</w:t>
      </w:r>
      <w:r w:rsidRPr="005554EF">
        <w:rPr>
          <w:rFonts w:hAnsi="標楷體" w:hint="eastAsia"/>
          <w:color w:val="000000" w:themeColor="text1"/>
        </w:rPr>
        <w:t>「</w:t>
      </w:r>
      <w:r w:rsidRPr="005554EF">
        <w:rPr>
          <w:rFonts w:hint="eastAsia"/>
          <w:color w:val="000000" w:themeColor="text1"/>
        </w:rPr>
        <w:t>有4件事是要加緊腳步優先處理，</w:t>
      </w:r>
      <w:r w:rsidRPr="005554EF">
        <w:rPr>
          <w:rFonts w:hint="eastAsia"/>
          <w:color w:val="000000" w:themeColor="text1"/>
          <w:u w:val="single"/>
        </w:rPr>
        <w:t>一是人數統計</w:t>
      </w:r>
      <w:r w:rsidRPr="005554EF">
        <w:rPr>
          <w:rFonts w:hint="eastAsia"/>
          <w:color w:val="000000" w:themeColor="text1"/>
        </w:rPr>
        <w:t>，衛福部看起來資料似有不足，而教育部依特殊教育法定義，與身心障礙者權益保障法不同，</w:t>
      </w:r>
      <w:proofErr w:type="gramStart"/>
      <w:r w:rsidRPr="005554EF">
        <w:rPr>
          <w:rFonts w:hint="eastAsia"/>
          <w:color w:val="000000" w:themeColor="text1"/>
        </w:rPr>
        <w:t>鑑</w:t>
      </w:r>
      <w:proofErr w:type="gramEnd"/>
      <w:r w:rsidRPr="005554EF">
        <w:rPr>
          <w:rFonts w:hint="eastAsia"/>
          <w:color w:val="000000" w:themeColor="text1"/>
        </w:rPr>
        <w:t>輔會須依據醫療鑑定結果來認定。過去衛福部統計來自服務的統計，但資料欠缺整合，較為零散，應針對資料完整及處理定義，才能推動後續的服務。並要考量各地方分布情形，以落實可近性</w:t>
      </w:r>
      <w:r w:rsidRPr="005554EF">
        <w:rPr>
          <w:rFonts w:hint="eastAsia"/>
          <w:color w:val="000000" w:themeColor="text1"/>
          <w:u w:val="single"/>
        </w:rPr>
        <w:t>。二是明確的評估需求：</w:t>
      </w:r>
      <w:r w:rsidRPr="005554EF">
        <w:rPr>
          <w:rFonts w:hint="eastAsia"/>
          <w:color w:val="000000" w:themeColor="text1"/>
        </w:rPr>
        <w:t>ICF評估，從早療開始，</w:t>
      </w:r>
      <w:proofErr w:type="gramStart"/>
      <w:r w:rsidRPr="005554EF">
        <w:rPr>
          <w:rFonts w:hint="eastAsia"/>
          <w:color w:val="000000" w:themeColor="text1"/>
        </w:rPr>
        <w:t>因著</w:t>
      </w:r>
      <w:proofErr w:type="gramEnd"/>
      <w:r w:rsidRPr="005554EF">
        <w:rPr>
          <w:rFonts w:hint="eastAsia"/>
          <w:color w:val="000000" w:themeColor="text1"/>
        </w:rPr>
        <w:t>需求，家長</w:t>
      </w:r>
      <w:proofErr w:type="gramStart"/>
      <w:r w:rsidRPr="005554EF">
        <w:rPr>
          <w:rFonts w:hint="eastAsia"/>
          <w:color w:val="000000" w:themeColor="text1"/>
        </w:rPr>
        <w:t>來說最需要</w:t>
      </w:r>
      <w:proofErr w:type="gramEnd"/>
      <w:r w:rsidRPr="005554EF">
        <w:rPr>
          <w:rFonts w:hint="eastAsia"/>
          <w:color w:val="000000" w:themeColor="text1"/>
        </w:rPr>
        <w:t>是家庭支持及提供ABA，給孩子最好的治療，不可能只在家，孩子在不同環境下的反應，要有好的評估工具及指標，才有利於資源的布建。</w:t>
      </w:r>
      <w:r w:rsidRPr="005554EF">
        <w:rPr>
          <w:rFonts w:hint="eastAsia"/>
          <w:color w:val="000000" w:themeColor="text1"/>
          <w:u w:val="single"/>
        </w:rPr>
        <w:t>三是服務資源的輸送</w:t>
      </w:r>
      <w:r w:rsidRPr="005554EF">
        <w:rPr>
          <w:rFonts w:hint="eastAsia"/>
          <w:color w:val="000000" w:themeColor="text1"/>
        </w:rPr>
        <w:t>，親職技巧等，</w:t>
      </w:r>
      <w:proofErr w:type="gramStart"/>
      <w:r w:rsidRPr="005554EF">
        <w:rPr>
          <w:rFonts w:hint="eastAsia"/>
          <w:color w:val="000000" w:themeColor="text1"/>
        </w:rPr>
        <w:t>均需布</w:t>
      </w:r>
      <w:proofErr w:type="gramEnd"/>
      <w:r w:rsidRPr="005554EF">
        <w:rPr>
          <w:rFonts w:hint="eastAsia"/>
          <w:color w:val="000000" w:themeColor="text1"/>
        </w:rPr>
        <w:t>建，並應考量可近性，以目前提出的方案，</w:t>
      </w:r>
      <w:r w:rsidRPr="005554EF">
        <w:rPr>
          <w:rFonts w:hint="eastAsia"/>
          <w:color w:val="000000" w:themeColor="text1"/>
        </w:rPr>
        <w:lastRenderedPageBreak/>
        <w:t>似無法滿足可近性的需求，必需要有誘因才是。不一定要向美國看齊，美國也沒有國家級的研究中心，發展出區域性的整合系統。政府目前需要做資源的盤整，如第一基金會也想積極推動，我們應參考國外的經驗，盤整國內的需求，如網路上傳教材，讓家長學習，感受到被支持的感覺，不一定只靠社工師或心理師。</w:t>
      </w:r>
      <w:r w:rsidRPr="005554EF">
        <w:rPr>
          <w:rFonts w:hint="eastAsia"/>
          <w:color w:val="000000" w:themeColor="text1"/>
          <w:u w:val="single"/>
        </w:rPr>
        <w:t>四是專業人力的培訓及布建</w:t>
      </w:r>
      <w:r w:rsidRPr="005554EF">
        <w:rPr>
          <w:rFonts w:hint="eastAsia"/>
          <w:color w:val="000000" w:themeColor="text1"/>
        </w:rPr>
        <w:t>。包含跨單位的人力需要多少數量，薪資多少，須靠教育團隊如何培訓，如何培訓專業技術等，我們坦白承認較少關注</w:t>
      </w:r>
      <w:proofErr w:type="gramStart"/>
      <w:r w:rsidRPr="005554EF">
        <w:rPr>
          <w:rFonts w:hint="eastAsia"/>
          <w:color w:val="000000" w:themeColor="text1"/>
        </w:rPr>
        <w:t>這類身障</w:t>
      </w:r>
      <w:proofErr w:type="gramEnd"/>
      <w:r w:rsidRPr="005554EF">
        <w:rPr>
          <w:rFonts w:hint="eastAsia"/>
          <w:color w:val="000000" w:themeColor="text1"/>
        </w:rPr>
        <w:t>個案的資源布建，關乎家長需求、民眾生活品質及國力，我們希望能盡快努力布建。院長有</w:t>
      </w:r>
      <w:proofErr w:type="gramStart"/>
      <w:r w:rsidRPr="005554EF">
        <w:rPr>
          <w:rFonts w:hint="eastAsia"/>
          <w:color w:val="000000" w:themeColor="text1"/>
        </w:rPr>
        <w:t>裁示身障</w:t>
      </w:r>
      <w:proofErr w:type="gramEnd"/>
      <w:r w:rsidRPr="005554EF">
        <w:rPr>
          <w:rFonts w:hint="eastAsia"/>
          <w:color w:val="000000" w:themeColor="text1"/>
        </w:rPr>
        <w:t>資源的中長期計畫，</w:t>
      </w:r>
      <w:proofErr w:type="gramStart"/>
      <w:r w:rsidRPr="005554EF">
        <w:rPr>
          <w:rFonts w:hint="eastAsia"/>
          <w:color w:val="000000" w:themeColor="text1"/>
        </w:rPr>
        <w:t>衛福部應更</w:t>
      </w:r>
      <w:proofErr w:type="gramEnd"/>
      <w:r w:rsidRPr="005554EF">
        <w:rPr>
          <w:rFonts w:hint="eastAsia"/>
          <w:color w:val="000000" w:themeColor="text1"/>
        </w:rPr>
        <w:t>積極努力一些。</w:t>
      </w:r>
      <w:r w:rsidRPr="005554EF">
        <w:rPr>
          <w:rFonts w:hint="eastAsia"/>
          <w:color w:val="000000" w:themeColor="text1"/>
          <w:u w:val="single"/>
        </w:rPr>
        <w:t>五是預防</w:t>
      </w:r>
      <w:r w:rsidRPr="005554EF">
        <w:rPr>
          <w:rFonts w:hint="eastAsia"/>
          <w:color w:val="000000" w:themeColor="text1"/>
        </w:rPr>
        <w:t>，屬高度醫療專業，精神醫學相關研究是否可預防，此需要尊重專業。情緒是可預防，有研究顯示孕婦懷孕期間的情緒會影響，但情緒行為問題是否可早期預防，未來是否國衛院能否成立一個團隊專案小組來研究，或許是未來可以努力的方向。此議題本</w:t>
      </w:r>
      <w:proofErr w:type="gramStart"/>
      <w:r w:rsidRPr="005554EF">
        <w:rPr>
          <w:rFonts w:hint="eastAsia"/>
          <w:color w:val="000000" w:themeColor="text1"/>
        </w:rPr>
        <w:t>院將督同</w:t>
      </w:r>
      <w:proofErr w:type="gramEnd"/>
      <w:r w:rsidRPr="005554EF">
        <w:rPr>
          <w:rFonts w:hint="eastAsia"/>
          <w:color w:val="000000" w:themeColor="text1"/>
        </w:rPr>
        <w:t>衛福部、教育部及</w:t>
      </w:r>
      <w:proofErr w:type="gramStart"/>
      <w:r w:rsidRPr="005554EF">
        <w:rPr>
          <w:rFonts w:hint="eastAsia"/>
          <w:color w:val="000000" w:themeColor="text1"/>
        </w:rPr>
        <w:t>勞動部等相關單位</w:t>
      </w:r>
      <w:proofErr w:type="gramEnd"/>
      <w:r w:rsidRPr="005554EF">
        <w:rPr>
          <w:rFonts w:hint="eastAsia"/>
          <w:color w:val="000000" w:themeColor="text1"/>
        </w:rPr>
        <w:t>一同來努力。現有</w:t>
      </w:r>
      <w:proofErr w:type="gramStart"/>
      <w:r w:rsidRPr="005554EF">
        <w:rPr>
          <w:rFonts w:hint="eastAsia"/>
          <w:color w:val="000000" w:themeColor="text1"/>
        </w:rPr>
        <w:t>衛福部及教育部</w:t>
      </w:r>
      <w:proofErr w:type="gramEnd"/>
      <w:r w:rsidRPr="005554EF">
        <w:rPr>
          <w:rFonts w:hint="eastAsia"/>
          <w:color w:val="000000" w:themeColor="text1"/>
        </w:rPr>
        <w:t>所推動的計畫，是否可支持</w:t>
      </w:r>
      <w:proofErr w:type="gramStart"/>
      <w:r w:rsidRPr="005554EF">
        <w:rPr>
          <w:rFonts w:hint="eastAsia"/>
          <w:color w:val="000000" w:themeColor="text1"/>
        </w:rPr>
        <w:t>我說的上</w:t>
      </w:r>
      <w:proofErr w:type="gramEnd"/>
      <w:r w:rsidRPr="005554EF">
        <w:rPr>
          <w:rFonts w:hint="eastAsia"/>
          <w:color w:val="000000" w:themeColor="text1"/>
        </w:rPr>
        <w:t>開5件事，或許應從點到線來規劃，推動方案不應一直試辦。</w:t>
      </w:r>
      <w:r w:rsidRPr="005554EF">
        <w:rPr>
          <w:rFonts w:hAnsi="標楷體" w:hint="eastAsia"/>
          <w:color w:val="000000" w:themeColor="text1"/>
        </w:rPr>
        <w:t>」</w:t>
      </w:r>
    </w:p>
    <w:p w:rsidR="0064315F" w:rsidRPr="005554EF" w:rsidRDefault="0064315F" w:rsidP="00B27132">
      <w:pPr>
        <w:pStyle w:val="3"/>
        <w:rPr>
          <w:color w:val="000000" w:themeColor="text1"/>
        </w:rPr>
      </w:pPr>
      <w:bookmarkStart w:id="59" w:name="_Toc120783851"/>
      <w:bookmarkStart w:id="60" w:name="_Toc124325927"/>
      <w:r w:rsidRPr="005554EF">
        <w:rPr>
          <w:rFonts w:hint="eastAsia"/>
          <w:color w:val="000000" w:themeColor="text1"/>
        </w:rPr>
        <w:t>綜上，身心障礙者享有居住自由、自立生活與融合社區之權益，應受到積極的保障，政府應蒐集統計與研究資料，</w:t>
      </w:r>
      <w:proofErr w:type="gramStart"/>
      <w:r w:rsidRPr="005554EF">
        <w:rPr>
          <w:rFonts w:hint="eastAsia"/>
          <w:color w:val="000000" w:themeColor="text1"/>
        </w:rPr>
        <w:t>釐</w:t>
      </w:r>
      <w:proofErr w:type="gramEnd"/>
      <w:r w:rsidRPr="005554EF">
        <w:rPr>
          <w:rFonts w:hint="eastAsia"/>
          <w:color w:val="000000" w:themeColor="text1"/>
        </w:rPr>
        <w:t>明身心障礙者於行使其權利時面臨之障礙。衛福部指出，近10年0至6歲發展遲緩兒童通報人數，自100年15,848名，成長至110年26,392名，通報人數成長66.5%，復據教育部統計，各就學階段身心障礙且伴隨情緒行為障礙者，計9,033人</w:t>
      </w:r>
      <w:r w:rsidRPr="005554EF">
        <w:rPr>
          <w:rFonts w:hint="eastAsia"/>
          <w:color w:val="000000" w:themeColor="text1"/>
        </w:rPr>
        <w:lastRenderedPageBreak/>
        <w:t>(疑似生2,011人)，分占身心障礙者比率為7.1%、18.1%，顯見具情緒行為議題之身心障礙者人數眾多。</w:t>
      </w:r>
      <w:proofErr w:type="gramStart"/>
      <w:r w:rsidRPr="005554EF">
        <w:rPr>
          <w:rFonts w:hint="eastAsia"/>
          <w:color w:val="000000" w:themeColor="text1"/>
        </w:rPr>
        <w:t>惟衛福部為身心</w:t>
      </w:r>
      <w:proofErr w:type="gramEnd"/>
      <w:r w:rsidRPr="005554EF">
        <w:rPr>
          <w:rFonts w:hint="eastAsia"/>
          <w:color w:val="000000" w:themeColor="text1"/>
        </w:rPr>
        <w:t>障礙者權益維護之中央主管機關，究認知障礙及情緒行為困擾障礙者中，哪些有嚴重情緒行為問題？</w:t>
      </w:r>
      <w:proofErr w:type="gramStart"/>
      <w:r w:rsidRPr="005554EF">
        <w:rPr>
          <w:rFonts w:hint="eastAsia"/>
          <w:color w:val="000000" w:themeColor="text1"/>
        </w:rPr>
        <w:t>樣態及需求</w:t>
      </w:r>
      <w:proofErr w:type="gramEnd"/>
      <w:r w:rsidRPr="005554EF">
        <w:rPr>
          <w:rFonts w:hint="eastAsia"/>
          <w:color w:val="000000" w:themeColor="text1"/>
        </w:rPr>
        <w:t>如何？迄今仍無相關統計數據，經監察院107年提案糾正後仍未改善；雖衛福部近年來推動</w:t>
      </w:r>
      <w:r w:rsidRPr="005554EF">
        <w:rPr>
          <w:rFonts w:hAnsi="標楷體" w:hint="eastAsia"/>
          <w:color w:val="000000" w:themeColor="text1"/>
        </w:rPr>
        <w:t>「</w:t>
      </w:r>
      <w:r w:rsidRPr="005554EF">
        <w:rPr>
          <w:rFonts w:hint="eastAsia"/>
          <w:color w:val="000000" w:themeColor="text1"/>
        </w:rPr>
        <w:t>第2期身心障礙者社區式照顧服務資源布建規劃(110年-113年)</w:t>
      </w:r>
      <w:r w:rsidRPr="005554EF">
        <w:rPr>
          <w:rFonts w:hAnsi="標楷體" w:hint="eastAsia"/>
          <w:color w:val="000000" w:themeColor="text1"/>
        </w:rPr>
        <w:t>」</w:t>
      </w:r>
      <w:r w:rsidRPr="005554EF">
        <w:rPr>
          <w:rFonts w:hint="eastAsia"/>
          <w:color w:val="000000" w:themeColor="text1"/>
        </w:rPr>
        <w:t>，發展身障者社區式服務及充實資源配置，卻未能將具情緒行為問題障礙者需求納入考量，致這類具情緒行為問題障礙者面臨服務資源難以使用、遭服務單位拒絕，致其等融入社區及自立生活困難重重，</w:t>
      </w:r>
      <w:proofErr w:type="gramStart"/>
      <w:r w:rsidRPr="005554EF">
        <w:rPr>
          <w:rFonts w:hint="eastAsia"/>
          <w:color w:val="000000" w:themeColor="text1"/>
        </w:rPr>
        <w:t>衛福部核有</w:t>
      </w:r>
      <w:proofErr w:type="gramEnd"/>
      <w:r w:rsidRPr="005554EF">
        <w:rPr>
          <w:rFonts w:hint="eastAsia"/>
          <w:color w:val="000000" w:themeColor="text1"/>
        </w:rPr>
        <w:t>違失；行政院允應加強督導所屬積極辦理改善。</w:t>
      </w:r>
      <w:bookmarkEnd w:id="59"/>
      <w:bookmarkEnd w:id="60"/>
    </w:p>
    <w:p w:rsidR="0064315F" w:rsidRDefault="0064315F" w:rsidP="00080040">
      <w:pPr>
        <w:pStyle w:val="0"/>
        <w:ind w:left="680"/>
        <w:rPr>
          <w:color w:val="000000" w:themeColor="text1"/>
        </w:rPr>
      </w:pPr>
    </w:p>
    <w:p w:rsidR="00286B1B" w:rsidRPr="005554EF" w:rsidRDefault="000512D1" w:rsidP="00EB769F">
      <w:pPr>
        <w:pStyle w:val="10"/>
        <w:ind w:left="680" w:firstLine="680"/>
        <w:rPr>
          <w:color w:val="000000" w:themeColor="text1"/>
        </w:rPr>
      </w:pPr>
      <w:bookmarkStart w:id="61" w:name="_Toc524902730"/>
      <w:bookmarkStart w:id="62" w:name="_GoBack"/>
      <w:bookmarkEnd w:id="35"/>
      <w:bookmarkEnd w:id="36"/>
      <w:bookmarkEnd w:id="37"/>
      <w:bookmarkEnd w:id="38"/>
      <w:bookmarkEnd w:id="39"/>
      <w:bookmarkEnd w:id="40"/>
      <w:bookmarkEnd w:id="62"/>
      <w:r w:rsidRPr="005554EF">
        <w:rPr>
          <w:rFonts w:hint="eastAsia"/>
          <w:color w:val="000000" w:themeColor="text1"/>
        </w:rPr>
        <w:t>綜上所述，</w:t>
      </w:r>
      <w:r w:rsidR="00EB769F" w:rsidRPr="005554EF">
        <w:rPr>
          <w:rFonts w:hint="eastAsia"/>
          <w:color w:val="000000" w:themeColor="text1"/>
        </w:rPr>
        <w:t>身心障礙者享有居住自由、自立生活與融合社區之權益，應受到積極的保障，政府應蒐集統計與研究</w:t>
      </w:r>
      <w:r w:rsidR="00EB769F" w:rsidRPr="005554EF">
        <w:rPr>
          <w:rFonts w:ascii="Times New Roman" w:hint="eastAsia"/>
          <w:color w:val="000000" w:themeColor="text1"/>
        </w:rPr>
        <w:t>資料</w:t>
      </w:r>
      <w:r w:rsidR="00EB769F" w:rsidRPr="005554EF">
        <w:rPr>
          <w:rFonts w:hint="eastAsia"/>
          <w:color w:val="000000" w:themeColor="text1"/>
        </w:rPr>
        <w:t>，釐明身心障礙者於行使其權利時面臨之障礙。</w:t>
      </w:r>
      <w:proofErr w:type="gramStart"/>
      <w:r w:rsidR="00EB769F" w:rsidRPr="005554EF">
        <w:rPr>
          <w:rFonts w:hint="eastAsia"/>
          <w:color w:val="000000" w:themeColor="text1"/>
        </w:rPr>
        <w:t>惟衛福部為身心</w:t>
      </w:r>
      <w:proofErr w:type="gramEnd"/>
      <w:r w:rsidR="00EB769F" w:rsidRPr="005554EF">
        <w:rPr>
          <w:rFonts w:hint="eastAsia"/>
          <w:color w:val="000000" w:themeColor="text1"/>
        </w:rPr>
        <w:t>障礙者權益維護之中央主管機關，究認知障礙及情緒行為困擾障礙者中，哪些有嚴重情緒行為問題？</w:t>
      </w:r>
      <w:proofErr w:type="gramStart"/>
      <w:r w:rsidR="00EB769F" w:rsidRPr="005554EF">
        <w:rPr>
          <w:rFonts w:hint="eastAsia"/>
          <w:color w:val="000000" w:themeColor="text1"/>
        </w:rPr>
        <w:t>樣態及需求</w:t>
      </w:r>
      <w:proofErr w:type="gramEnd"/>
      <w:r w:rsidR="00EB769F" w:rsidRPr="005554EF">
        <w:rPr>
          <w:rFonts w:hint="eastAsia"/>
          <w:color w:val="000000" w:themeColor="text1"/>
        </w:rPr>
        <w:t>如何？迄今仍無相關統計數據，經監察院107年提案糾正後仍未改善；雖衛福部近年來推動「第2期身心障礙者社區式照顧服務資源布建規劃(110年-113年)」，發展身障者社區式服務及充實資源配置，卻未能將具情緒行為問題障礙者需求納入考量，致這類具情緒行為問題障礙者面臨服務資源難以使用、遭服務單位拒絕，致其等融入社區及自立生活困難重重，</w:t>
      </w:r>
      <w:proofErr w:type="gramStart"/>
      <w:r w:rsidR="00EB769F" w:rsidRPr="005554EF">
        <w:rPr>
          <w:rFonts w:hint="eastAsia"/>
          <w:color w:val="000000" w:themeColor="text1"/>
        </w:rPr>
        <w:t>衛福部核有</w:t>
      </w:r>
      <w:proofErr w:type="gramEnd"/>
      <w:r w:rsidR="00EB769F" w:rsidRPr="005554EF">
        <w:rPr>
          <w:rFonts w:hint="eastAsia"/>
          <w:color w:val="000000" w:themeColor="text1"/>
        </w:rPr>
        <w:t>違失</w:t>
      </w:r>
      <w:r w:rsidRPr="005554EF">
        <w:rPr>
          <w:rFonts w:hint="eastAsia"/>
          <w:color w:val="000000" w:themeColor="text1"/>
        </w:rPr>
        <w:t>，</w:t>
      </w:r>
      <w:proofErr w:type="gramStart"/>
      <w:r w:rsidRPr="005554EF">
        <w:rPr>
          <w:rFonts w:hint="eastAsia"/>
          <w:color w:val="000000" w:themeColor="text1"/>
        </w:rPr>
        <w:t>爰</w:t>
      </w:r>
      <w:proofErr w:type="gramEnd"/>
      <w:r w:rsidRPr="005554EF">
        <w:rPr>
          <w:rFonts w:hint="eastAsia"/>
          <w:color w:val="000000" w:themeColor="text1"/>
        </w:rPr>
        <w:t>依</w:t>
      </w:r>
      <w:r w:rsidR="001B48EB" w:rsidRPr="005554EF">
        <w:rPr>
          <w:rFonts w:hint="eastAsia"/>
          <w:bCs/>
          <w:color w:val="000000" w:themeColor="text1"/>
        </w:rPr>
        <w:t>憲法第97條第1項及</w:t>
      </w:r>
      <w:r w:rsidRPr="005554EF">
        <w:rPr>
          <w:rFonts w:hint="eastAsia"/>
          <w:color w:val="000000" w:themeColor="text1"/>
        </w:rPr>
        <w:t>監察法第24條</w:t>
      </w:r>
      <w:r w:rsidR="00396EC5" w:rsidRPr="005554EF">
        <w:rPr>
          <w:rFonts w:hint="eastAsia"/>
          <w:color w:val="000000" w:themeColor="text1"/>
        </w:rPr>
        <w:t>之</w:t>
      </w:r>
      <w:r w:rsidRPr="005554EF">
        <w:rPr>
          <w:rFonts w:hint="eastAsia"/>
          <w:color w:val="000000" w:themeColor="text1"/>
        </w:rPr>
        <w:t>規定提案糾正，移送行政院轉</w:t>
      </w:r>
      <w:proofErr w:type="gramStart"/>
      <w:r w:rsidRPr="005554EF">
        <w:rPr>
          <w:rFonts w:hint="eastAsia"/>
          <w:color w:val="000000" w:themeColor="text1"/>
        </w:rPr>
        <w:t>飭</w:t>
      </w:r>
      <w:proofErr w:type="gramEnd"/>
      <w:r w:rsidRPr="005554EF">
        <w:rPr>
          <w:rFonts w:hint="eastAsia"/>
          <w:color w:val="000000" w:themeColor="text1"/>
        </w:rPr>
        <w:t>所屬確實檢討改善</w:t>
      </w:r>
      <w:proofErr w:type="gramStart"/>
      <w:r w:rsidRPr="005554EF">
        <w:rPr>
          <w:rFonts w:hint="eastAsia"/>
          <w:color w:val="000000" w:themeColor="text1"/>
        </w:rPr>
        <w:t>見復</w:t>
      </w:r>
      <w:proofErr w:type="gramEnd"/>
      <w:r w:rsidR="00286B1B" w:rsidRPr="005554EF">
        <w:rPr>
          <w:rFonts w:hint="eastAsia"/>
          <w:color w:val="000000" w:themeColor="text1"/>
        </w:rPr>
        <w:t>。</w:t>
      </w:r>
      <w:bookmarkEnd w:id="61"/>
    </w:p>
    <w:sectPr w:rsidR="00286B1B" w:rsidRPr="005554EF" w:rsidSect="00AF46C3">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EA7" w:rsidRDefault="00113EA7">
      <w:r>
        <w:separator/>
      </w:r>
    </w:p>
  </w:endnote>
  <w:endnote w:type="continuationSeparator" w:id="0">
    <w:p w:rsidR="00113EA7" w:rsidRDefault="0011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F" w:rsidRDefault="00EB769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EB769F" w:rsidRDefault="00EB769F">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F" w:rsidRDefault="00EB769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w:t>
    </w:r>
    <w:r>
      <w:rPr>
        <w:rStyle w:val="ad"/>
        <w:sz w:val="24"/>
      </w:rPr>
      <w:fldChar w:fldCharType="end"/>
    </w:r>
  </w:p>
  <w:p w:rsidR="00EB769F" w:rsidRDefault="00EB769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EA7" w:rsidRDefault="00113EA7">
      <w:r>
        <w:separator/>
      </w:r>
    </w:p>
  </w:footnote>
  <w:footnote w:type="continuationSeparator" w:id="0">
    <w:p w:rsidR="00113EA7" w:rsidRDefault="00113EA7">
      <w:r>
        <w:continuationSeparator/>
      </w:r>
    </w:p>
  </w:footnote>
  <w:footnote w:id="1">
    <w:p w:rsidR="00EB769F" w:rsidRDefault="00EB769F" w:rsidP="0064315F">
      <w:pPr>
        <w:pStyle w:val="afe"/>
      </w:pPr>
      <w:r>
        <w:rPr>
          <w:rStyle w:val="aff0"/>
        </w:rPr>
        <w:footnoteRef/>
      </w:r>
      <w:r>
        <w:t xml:space="preserve"> </w:t>
      </w:r>
      <w:r w:rsidRPr="00972A38">
        <w:rPr>
          <w:rFonts w:hint="eastAsia"/>
        </w:rPr>
        <w:t>身心障礙者權利公約第19條(自立生活及社區融合)揭示：「本公約締約國肯認所有身心障礙者享有於社區中生活之平等權利以及與其他人同等之選擇，並應採取有效及適當之措施，以促進身心</w:t>
      </w:r>
      <w:proofErr w:type="gramStart"/>
      <w:r w:rsidRPr="00972A38">
        <w:rPr>
          <w:rFonts w:hint="eastAsia"/>
        </w:rPr>
        <w:t>障礙者完</w:t>
      </w:r>
      <w:proofErr w:type="gramEnd"/>
      <w:r w:rsidRPr="00972A38">
        <w:rPr>
          <w:rFonts w:hint="eastAsia"/>
        </w:rPr>
        <w:t xml:space="preserve"> 整享有該等權利以及完整的社區融合及社區參與，包括確保：(a)</w:t>
      </w:r>
      <w:r w:rsidRPr="00972A38">
        <w:rPr>
          <w:rFonts w:hint="eastAsia"/>
        </w:rPr>
        <w:tab/>
        <w:t>身心障礙者有機會在與其他人平等基礎上選擇居所，選擇於何處、與何人一起生活，不被強迫於特定之居住安排中生活；(b)</w:t>
      </w:r>
      <w:r w:rsidRPr="00972A38">
        <w:rPr>
          <w:rFonts w:hint="eastAsia"/>
        </w:rPr>
        <w:tab/>
        <w:t>身心障礙者享有近用各種居家、住所及其他社區支持服務，包括必要之個人協助，以支持於社區生活及社區融合，避免孤立或隔離於社區之外；(c)</w:t>
      </w:r>
      <w:r w:rsidRPr="00972A38">
        <w:rPr>
          <w:rFonts w:hint="eastAsia"/>
        </w:rPr>
        <w:tab/>
        <w:t>為大眾提供之社區服務及設施，亦可由身心障礙者平等使用，並回應其需求。」身心障礙者權益保障法第16條第1項規定：「身心障礙者之人格及合法權益，應受尊重及保障，對其接受教育、應考、進用、就業、居住、遷徙、醫療等權益，不得有歧視之對待。」</w:t>
      </w:r>
      <w:r w:rsidRPr="00CA53E1">
        <w:rPr>
          <w:rFonts w:hint="eastAsia"/>
        </w:rPr>
        <w:t>第50條規定：「直轄市、縣（市）主管機關應依需求評估結果辦理下列服務，提供身心障礙者獲得所需之個人支持及照顧，促進其生活品質、社會參與及自立生活：一、居家照顧。二、生活重建。三、心理重建。四、社區居住。五、婚姻及生育輔導。六、日間及住宿式照顧。七、</w:t>
      </w:r>
      <w:proofErr w:type="gramStart"/>
      <w:r w:rsidRPr="00CA53E1">
        <w:rPr>
          <w:rFonts w:hint="eastAsia"/>
        </w:rPr>
        <w:t>家庭托顧</w:t>
      </w:r>
      <w:proofErr w:type="gramEnd"/>
      <w:r w:rsidRPr="00CA53E1">
        <w:rPr>
          <w:rFonts w:hint="eastAsia"/>
        </w:rPr>
        <w:t>。八、課後照顧。九、自立生活支持服務。十、其他有關身心障礙者個人照顧之服務。」</w:t>
      </w:r>
    </w:p>
  </w:footnote>
  <w:footnote w:id="2">
    <w:p w:rsidR="00EB769F" w:rsidRDefault="00EB769F" w:rsidP="0064315F">
      <w:pPr>
        <w:pStyle w:val="afe"/>
      </w:pPr>
      <w:r>
        <w:rPr>
          <w:rStyle w:val="aff0"/>
        </w:rPr>
        <w:footnoteRef/>
      </w:r>
      <w:r>
        <w:t xml:space="preserve"> </w:t>
      </w:r>
      <w:r w:rsidRPr="00DB5791">
        <w:rPr>
          <w:rFonts w:hint="eastAsia"/>
        </w:rPr>
        <w:t>身心障礙者權利公約施行法第4條規定：「各級政府機關行使職權，應符合公約有關身心障礙者權利保障之規定，避免侵害身心障礙者權利，保護身心障礙者不受他人侵害，並應積極促進各項身心障礙者權利之實現。」</w:t>
      </w:r>
    </w:p>
  </w:footnote>
  <w:footnote w:id="3">
    <w:p w:rsidR="00EB769F" w:rsidRPr="00490007" w:rsidRDefault="00EB769F" w:rsidP="0064315F">
      <w:pPr>
        <w:pStyle w:val="afe"/>
      </w:pPr>
      <w:r>
        <w:rPr>
          <w:rStyle w:val="aff0"/>
        </w:rPr>
        <w:footnoteRef/>
      </w:r>
      <w:r>
        <w:t xml:space="preserve"> </w:t>
      </w:r>
      <w:r>
        <w:rPr>
          <w:rFonts w:hint="eastAsia"/>
        </w:rPr>
        <w:t>行政院111年1月26日院</w:t>
      </w:r>
      <w:proofErr w:type="gramStart"/>
      <w:r>
        <w:rPr>
          <w:rFonts w:hint="eastAsia"/>
        </w:rPr>
        <w:t>臺衛字</w:t>
      </w:r>
      <w:proofErr w:type="gramEnd"/>
      <w:r>
        <w:rPr>
          <w:rFonts w:hint="eastAsia"/>
        </w:rPr>
        <w:t>第1110002474號函、</w:t>
      </w:r>
      <w:r w:rsidRPr="00611449">
        <w:rPr>
          <w:rFonts w:hint="eastAsia"/>
        </w:rPr>
        <w:t>111年</w:t>
      </w:r>
      <w:r>
        <w:rPr>
          <w:rFonts w:hint="eastAsia"/>
        </w:rPr>
        <w:t>3</w:t>
      </w:r>
      <w:r w:rsidRPr="00611449">
        <w:rPr>
          <w:rFonts w:hint="eastAsia"/>
        </w:rPr>
        <w:t>月2日院</w:t>
      </w:r>
      <w:proofErr w:type="gramStart"/>
      <w:r w:rsidRPr="00611449">
        <w:rPr>
          <w:rFonts w:hint="eastAsia"/>
        </w:rPr>
        <w:t>臺衛字</w:t>
      </w:r>
      <w:proofErr w:type="gramEnd"/>
      <w:r w:rsidRPr="00611449">
        <w:rPr>
          <w:rFonts w:hint="eastAsia"/>
        </w:rPr>
        <w:t>第</w:t>
      </w:r>
      <w:r>
        <w:rPr>
          <w:rFonts w:hint="eastAsia"/>
        </w:rPr>
        <w:t>1110005880</w:t>
      </w:r>
      <w:r w:rsidRPr="00611449">
        <w:rPr>
          <w:rFonts w:hint="eastAsia"/>
        </w:rPr>
        <w:t>號函</w:t>
      </w:r>
    </w:p>
  </w:footnote>
  <w:footnote w:id="4">
    <w:p w:rsidR="00EB769F" w:rsidRPr="00611449" w:rsidRDefault="00EB769F" w:rsidP="0064315F">
      <w:pPr>
        <w:pStyle w:val="afe"/>
      </w:pPr>
      <w:r>
        <w:rPr>
          <w:rStyle w:val="aff0"/>
        </w:rPr>
        <w:footnoteRef/>
      </w:r>
      <w:r>
        <w:t xml:space="preserve"> </w:t>
      </w:r>
      <w:r>
        <w:rPr>
          <w:rFonts w:hint="eastAsia"/>
        </w:rPr>
        <w:t>衛生福利部111年1月24日</w:t>
      </w:r>
      <w:proofErr w:type="gramStart"/>
      <w:r>
        <w:rPr>
          <w:rFonts w:hint="eastAsia"/>
        </w:rPr>
        <w:t>衛授家字</w:t>
      </w:r>
      <w:proofErr w:type="gramEnd"/>
      <w:r>
        <w:rPr>
          <w:rFonts w:hint="eastAsia"/>
        </w:rPr>
        <w:t>第1110000002號函、</w:t>
      </w:r>
      <w:r w:rsidRPr="00611449">
        <w:rPr>
          <w:rFonts w:hint="eastAsia"/>
        </w:rPr>
        <w:t>111年</w:t>
      </w:r>
      <w:r>
        <w:rPr>
          <w:rFonts w:hint="eastAsia"/>
        </w:rPr>
        <w:t>2</w:t>
      </w:r>
      <w:r w:rsidRPr="00611449">
        <w:rPr>
          <w:rFonts w:hint="eastAsia"/>
        </w:rPr>
        <w:t>月2</w:t>
      </w:r>
      <w:r>
        <w:rPr>
          <w:rFonts w:hint="eastAsia"/>
        </w:rPr>
        <w:t>5</w:t>
      </w:r>
      <w:r w:rsidRPr="00611449">
        <w:rPr>
          <w:rFonts w:hint="eastAsia"/>
        </w:rPr>
        <w:t>日</w:t>
      </w:r>
      <w:proofErr w:type="gramStart"/>
      <w:r w:rsidRPr="00611449">
        <w:rPr>
          <w:rFonts w:hint="eastAsia"/>
        </w:rPr>
        <w:t>衛授家字</w:t>
      </w:r>
      <w:proofErr w:type="gramEnd"/>
      <w:r w:rsidRPr="00611449">
        <w:rPr>
          <w:rFonts w:hint="eastAsia"/>
        </w:rPr>
        <w:t>第111</w:t>
      </w:r>
      <w:r>
        <w:rPr>
          <w:rFonts w:hint="eastAsia"/>
        </w:rPr>
        <w:t>0760203</w:t>
      </w:r>
      <w:r w:rsidRPr="00611449">
        <w:rPr>
          <w:rFonts w:hint="eastAsia"/>
        </w:rPr>
        <w:t>號函</w:t>
      </w:r>
    </w:p>
  </w:footnote>
  <w:footnote w:id="5">
    <w:p w:rsidR="00EB769F" w:rsidRDefault="00EB769F" w:rsidP="0064315F">
      <w:pPr>
        <w:pStyle w:val="afe"/>
      </w:pPr>
      <w:r>
        <w:rPr>
          <w:rStyle w:val="aff0"/>
        </w:rPr>
        <w:footnoteRef/>
      </w:r>
      <w:r>
        <w:t xml:space="preserve"> </w:t>
      </w:r>
      <w:r>
        <w:rPr>
          <w:rFonts w:hint="eastAsia"/>
        </w:rPr>
        <w:t>教育部111年1月24日</w:t>
      </w:r>
      <w:proofErr w:type="gramStart"/>
      <w:r>
        <w:rPr>
          <w:rFonts w:hint="eastAsia"/>
        </w:rPr>
        <w:t>臺</w:t>
      </w:r>
      <w:proofErr w:type="gramEnd"/>
      <w:r>
        <w:rPr>
          <w:rFonts w:hint="eastAsia"/>
        </w:rPr>
        <w:t>教授</w:t>
      </w:r>
      <w:proofErr w:type="gramStart"/>
      <w:r>
        <w:rPr>
          <w:rFonts w:hint="eastAsia"/>
        </w:rPr>
        <w:t>國部字第1110007300號</w:t>
      </w:r>
      <w:proofErr w:type="gramEnd"/>
      <w:r>
        <w:rPr>
          <w:rFonts w:hint="eastAsia"/>
        </w:rPr>
        <w:t>函、</w:t>
      </w:r>
      <w:r w:rsidRPr="00490007">
        <w:rPr>
          <w:rFonts w:hint="eastAsia"/>
        </w:rPr>
        <w:t>111年</w:t>
      </w:r>
      <w:r>
        <w:rPr>
          <w:rFonts w:hint="eastAsia"/>
        </w:rPr>
        <w:t>2</w:t>
      </w:r>
      <w:r w:rsidRPr="00490007">
        <w:rPr>
          <w:rFonts w:hint="eastAsia"/>
        </w:rPr>
        <w:t>月</w:t>
      </w:r>
      <w:r>
        <w:rPr>
          <w:rFonts w:hint="eastAsia"/>
        </w:rPr>
        <w:t>9</w:t>
      </w:r>
      <w:r w:rsidRPr="00490007">
        <w:rPr>
          <w:rFonts w:hint="eastAsia"/>
        </w:rPr>
        <w:t>日</w:t>
      </w:r>
      <w:proofErr w:type="gramStart"/>
      <w:r w:rsidRPr="00490007">
        <w:rPr>
          <w:rFonts w:hint="eastAsia"/>
        </w:rPr>
        <w:t>臺</w:t>
      </w:r>
      <w:proofErr w:type="gramEnd"/>
      <w:r w:rsidRPr="00490007">
        <w:rPr>
          <w:rFonts w:hint="eastAsia"/>
        </w:rPr>
        <w:t>教授</w:t>
      </w:r>
      <w:proofErr w:type="gramStart"/>
      <w:r w:rsidRPr="00490007">
        <w:rPr>
          <w:rFonts w:hint="eastAsia"/>
        </w:rPr>
        <w:t>國部字第</w:t>
      </w:r>
      <w:r>
        <w:rPr>
          <w:rFonts w:hint="eastAsia"/>
        </w:rPr>
        <w:t>1110000428</w:t>
      </w:r>
      <w:r w:rsidRPr="00490007">
        <w:rPr>
          <w:rFonts w:hint="eastAsia"/>
        </w:rPr>
        <w:t>號</w:t>
      </w:r>
      <w:proofErr w:type="gramEnd"/>
      <w:r w:rsidRPr="00490007">
        <w:rPr>
          <w:rFonts w:hint="eastAsia"/>
        </w:rPr>
        <w:t>函</w:t>
      </w:r>
    </w:p>
  </w:footnote>
  <w:footnote w:id="6">
    <w:p w:rsidR="00EB769F" w:rsidRDefault="00EB769F" w:rsidP="0064315F">
      <w:pPr>
        <w:pStyle w:val="afe"/>
      </w:pPr>
      <w:r>
        <w:rPr>
          <w:rStyle w:val="aff0"/>
        </w:rPr>
        <w:footnoteRef/>
      </w:r>
      <w:r>
        <w:t xml:space="preserve"> </w:t>
      </w:r>
      <w:r>
        <w:rPr>
          <w:rFonts w:hint="eastAsia"/>
        </w:rPr>
        <w:t>勞動部111年1月18日勞動</w:t>
      </w:r>
      <w:proofErr w:type="gramStart"/>
      <w:r>
        <w:rPr>
          <w:rFonts w:hint="eastAsia"/>
        </w:rPr>
        <w:t>發綜字</w:t>
      </w:r>
      <w:proofErr w:type="gramEnd"/>
      <w:r>
        <w:rPr>
          <w:rFonts w:hint="eastAsia"/>
        </w:rPr>
        <w:t>第1100025836號函、</w:t>
      </w:r>
    </w:p>
  </w:footnote>
  <w:footnote w:id="7">
    <w:p w:rsidR="00EB769F" w:rsidRDefault="00EB769F" w:rsidP="0064315F">
      <w:pPr>
        <w:pStyle w:val="afe"/>
      </w:pPr>
      <w:r>
        <w:rPr>
          <w:rStyle w:val="aff0"/>
        </w:rPr>
        <w:footnoteRef/>
      </w:r>
      <w:r>
        <w:t xml:space="preserve"> </w:t>
      </w:r>
      <w:r>
        <w:rPr>
          <w:rFonts w:hint="eastAsia"/>
        </w:rPr>
        <w:t>衛福部</w:t>
      </w:r>
      <w:r w:rsidRPr="00157A34">
        <w:rPr>
          <w:rFonts w:hint="eastAsia"/>
        </w:rPr>
        <w:t>心理及口腔</w:t>
      </w:r>
      <w:proofErr w:type="gramStart"/>
      <w:r w:rsidRPr="00157A34">
        <w:rPr>
          <w:rFonts w:hint="eastAsia"/>
        </w:rPr>
        <w:t>健康司</w:t>
      </w:r>
      <w:proofErr w:type="gramEnd"/>
      <w:r w:rsidRPr="00157A34">
        <w:rPr>
          <w:rFonts w:hint="eastAsia"/>
        </w:rPr>
        <w:t>於111年5月4日改制為心理</w:t>
      </w:r>
      <w:proofErr w:type="gramStart"/>
      <w:r w:rsidRPr="00157A34">
        <w:rPr>
          <w:rFonts w:hint="eastAsia"/>
        </w:rPr>
        <w:t>健康司</w:t>
      </w:r>
      <w:proofErr w:type="gramEnd"/>
      <w:r w:rsidRPr="00157A34">
        <w:rPr>
          <w:rFonts w:hint="eastAsia"/>
        </w:rPr>
        <w:t>與口腔</w:t>
      </w:r>
      <w:proofErr w:type="gramStart"/>
      <w:r w:rsidRPr="00157A34">
        <w:rPr>
          <w:rFonts w:hint="eastAsia"/>
        </w:rPr>
        <w:t>健康司</w:t>
      </w:r>
      <w:proofErr w:type="gramEnd"/>
      <w:r>
        <w:rPr>
          <w:rFonts w:hint="eastAsia"/>
        </w:rPr>
        <w:t>。</w:t>
      </w:r>
    </w:p>
  </w:footnote>
  <w:footnote w:id="8">
    <w:p w:rsidR="00EB769F" w:rsidRPr="00C8240A" w:rsidRDefault="00EB769F" w:rsidP="0064315F">
      <w:pPr>
        <w:pStyle w:val="afe"/>
      </w:pPr>
      <w:r>
        <w:rPr>
          <w:rStyle w:val="aff0"/>
        </w:rPr>
        <w:footnoteRef/>
      </w:r>
      <w:r>
        <w:t xml:space="preserve"> </w:t>
      </w:r>
      <w:r>
        <w:rPr>
          <w:rFonts w:hint="eastAsia"/>
        </w:rPr>
        <w:t>衛福</w:t>
      </w:r>
      <w:proofErr w:type="gramStart"/>
      <w:r>
        <w:rPr>
          <w:rFonts w:hint="eastAsia"/>
        </w:rPr>
        <w:t>部社家署</w:t>
      </w:r>
      <w:r w:rsidRPr="00C8240A">
        <w:rPr>
          <w:rFonts w:hint="eastAsia"/>
        </w:rPr>
        <w:t>110年3月25日社家障字</w:t>
      </w:r>
      <w:proofErr w:type="gramEnd"/>
      <w:r w:rsidRPr="00C8240A">
        <w:rPr>
          <w:rFonts w:hint="eastAsia"/>
        </w:rPr>
        <w:t>第1100700341號函核定</w:t>
      </w:r>
      <w:r>
        <w:rPr>
          <w:rFonts w:hint="eastAsia"/>
        </w:rPr>
        <w:t>。</w:t>
      </w:r>
    </w:p>
  </w:footnote>
  <w:footnote w:id="9">
    <w:p w:rsidR="00EB769F" w:rsidRPr="009E1179" w:rsidRDefault="00EB769F" w:rsidP="0064315F">
      <w:pPr>
        <w:pStyle w:val="afe"/>
      </w:pPr>
      <w:r>
        <w:rPr>
          <w:rStyle w:val="aff0"/>
        </w:rPr>
        <w:footnoteRef/>
      </w:r>
      <w:r>
        <w:t xml:space="preserve"> </w:t>
      </w:r>
      <w:r w:rsidRPr="009E1179">
        <w:rPr>
          <w:rFonts w:hint="eastAsia"/>
        </w:rPr>
        <w:t>聯合國身心障礙者權利委員會</w:t>
      </w:r>
      <w:r>
        <w:rPr>
          <w:rFonts w:hint="eastAsia"/>
        </w:rPr>
        <w:t>106</w:t>
      </w:r>
      <w:r w:rsidRPr="009E1179">
        <w:rPr>
          <w:rFonts w:hint="eastAsia"/>
        </w:rPr>
        <w:t>年8月31日發布</w:t>
      </w:r>
      <w:r>
        <w:rPr>
          <w:rFonts w:hint="eastAsia"/>
        </w:rPr>
        <w:t>。</w:t>
      </w:r>
    </w:p>
  </w:footnote>
  <w:footnote w:id="10">
    <w:p w:rsidR="00EB769F" w:rsidRPr="00A0053A" w:rsidRDefault="00EB769F" w:rsidP="0064315F">
      <w:pPr>
        <w:pStyle w:val="afe"/>
      </w:pPr>
      <w:r>
        <w:rPr>
          <w:rStyle w:val="aff0"/>
        </w:rPr>
        <w:footnoteRef/>
      </w:r>
      <w:r>
        <w:t xml:space="preserve"> </w:t>
      </w:r>
      <w:r>
        <w:rPr>
          <w:rFonts w:hint="eastAsia"/>
        </w:rPr>
        <w:t>資料來源：衛福部社會及家庭署建置</w:t>
      </w:r>
      <w:proofErr w:type="gramStart"/>
      <w:r>
        <w:rPr>
          <w:rFonts w:hint="eastAsia"/>
        </w:rPr>
        <w:t>之身權公約</w:t>
      </w:r>
      <w:proofErr w:type="gramEnd"/>
      <w:r>
        <w:rPr>
          <w:rFonts w:hint="eastAsia"/>
        </w:rPr>
        <w:t>網站，網址：</w:t>
      </w:r>
      <w:r w:rsidRPr="00A0053A">
        <w:t>https://crpd.sfaa.gov.tw/BulletinCtrl?func=getBulletin&amp;p=b_2&amp;c=C&amp;bulletinId=301</w:t>
      </w:r>
    </w:p>
  </w:footnote>
  <w:footnote w:id="11">
    <w:p w:rsidR="00EB769F" w:rsidRPr="00CD503A" w:rsidRDefault="00EB769F" w:rsidP="0064315F">
      <w:pPr>
        <w:pStyle w:val="afe"/>
      </w:pPr>
      <w:r>
        <w:rPr>
          <w:rStyle w:val="aff0"/>
        </w:rPr>
        <w:footnoteRef/>
      </w:r>
      <w:r>
        <w:t xml:space="preserve"> </w:t>
      </w:r>
      <w:r>
        <w:rPr>
          <w:rFonts w:hint="eastAsia"/>
        </w:rPr>
        <w:t>資料來源：立法院法律系統，網址：</w:t>
      </w:r>
      <w:r w:rsidRPr="00CD503A">
        <w:t>https://lis.ly.gov.tw/lglawc/lawsingle?0075153384B50000000000000000032000000007000000^01127109123000^00036001001</w:t>
      </w:r>
    </w:p>
  </w:footnote>
  <w:footnote w:id="12">
    <w:p w:rsidR="00EB769F" w:rsidRPr="000C5410" w:rsidRDefault="00EB769F" w:rsidP="0064315F">
      <w:pPr>
        <w:pStyle w:val="afe"/>
      </w:pPr>
      <w:r>
        <w:rPr>
          <w:rStyle w:val="aff0"/>
        </w:rPr>
        <w:footnoteRef/>
      </w:r>
      <w:r>
        <w:t xml:space="preserve"> </w:t>
      </w:r>
      <w:r w:rsidRPr="000C5410">
        <w:rPr>
          <w:rFonts w:hint="eastAsia"/>
        </w:rPr>
        <w:t>立法院審議中央政府</w:t>
      </w:r>
      <w:proofErr w:type="gramStart"/>
      <w:r>
        <w:rPr>
          <w:rFonts w:hint="eastAsia"/>
        </w:rPr>
        <w:t>112</w:t>
      </w:r>
      <w:proofErr w:type="gramEnd"/>
      <w:r>
        <w:rPr>
          <w:rFonts w:hint="eastAsia"/>
        </w:rPr>
        <w:t>年度</w:t>
      </w:r>
      <w:r w:rsidRPr="000C5410">
        <w:rPr>
          <w:rFonts w:hint="eastAsia"/>
        </w:rPr>
        <w:t>總預算案所提決議、附帶決議及注意辦理事項</w:t>
      </w:r>
      <w:r>
        <w:rPr>
          <w:rFonts w:hint="eastAsia"/>
        </w:rPr>
        <w:t>，要求</w:t>
      </w:r>
      <w:r w:rsidRPr="000C5410">
        <w:rPr>
          <w:rFonts w:hint="eastAsia"/>
        </w:rPr>
        <w:t>衛福</w:t>
      </w:r>
      <w:proofErr w:type="gramStart"/>
      <w:r w:rsidRPr="000C5410">
        <w:rPr>
          <w:rFonts w:hint="eastAsia"/>
        </w:rPr>
        <w:t>部社家署</w:t>
      </w:r>
      <w:proofErr w:type="gramEnd"/>
      <w:r w:rsidRPr="000C5410">
        <w:rPr>
          <w:rFonts w:hint="eastAsia"/>
        </w:rPr>
        <w:t>辦理情形</w:t>
      </w:r>
      <w:r>
        <w:rPr>
          <w:rFonts w:hint="eastAsia"/>
        </w:rPr>
        <w:t>提出檢討改善。</w:t>
      </w:r>
    </w:p>
  </w:footnote>
  <w:footnote w:id="13">
    <w:p w:rsidR="00EB769F" w:rsidRPr="00A03D04" w:rsidRDefault="00EB769F" w:rsidP="0064315F">
      <w:pPr>
        <w:pStyle w:val="afe"/>
        <w:rPr>
          <w:rFonts w:hAnsi="標楷體"/>
        </w:rPr>
      </w:pPr>
      <w:r>
        <w:rPr>
          <w:rStyle w:val="aff0"/>
        </w:rPr>
        <w:footnoteRef/>
      </w:r>
      <w:r>
        <w:t xml:space="preserve"> </w:t>
      </w:r>
      <w:r>
        <w:rPr>
          <w:rFonts w:hAnsi="標楷體" w:hint="eastAsia"/>
        </w:rPr>
        <w:t>「</w:t>
      </w:r>
      <w:r w:rsidRPr="004B4B36">
        <w:rPr>
          <w:rFonts w:hint="eastAsia"/>
        </w:rPr>
        <w:t>國家人權委員會就身心障礙者權利公約(CRPD)第二次國家報告之獨立評估意見</w:t>
      </w:r>
      <w:r>
        <w:rPr>
          <w:rFonts w:hAnsi="標楷體" w:hint="eastAsia"/>
        </w:rPr>
        <w:t>」1</w:t>
      </w:r>
      <w:r>
        <w:rPr>
          <w:rFonts w:hAnsi="標楷體"/>
        </w:rPr>
        <w:t>10</w:t>
      </w:r>
      <w:r>
        <w:rPr>
          <w:rFonts w:hAnsi="標楷體" w:hint="eastAsia"/>
        </w:rPr>
        <w:t>年8月</w:t>
      </w:r>
      <w:r>
        <w:rPr>
          <w:rFonts w:hint="eastAsia"/>
        </w:rPr>
        <w:t>，頁44-</w:t>
      </w:r>
      <w:r>
        <w:t>45</w:t>
      </w:r>
      <w:r>
        <w:rPr>
          <w:rFonts w:hint="eastAsia"/>
        </w:rPr>
        <w:t>。</w:t>
      </w:r>
    </w:p>
  </w:footnote>
  <w:footnote w:id="14">
    <w:p w:rsidR="00EB769F" w:rsidRPr="004F0ECA" w:rsidRDefault="00EB769F" w:rsidP="0064315F">
      <w:pPr>
        <w:pStyle w:val="afe"/>
      </w:pPr>
      <w:r>
        <w:rPr>
          <w:rStyle w:val="aff0"/>
        </w:rPr>
        <w:footnoteRef/>
      </w:r>
      <w:r>
        <w:t xml:space="preserve"> </w:t>
      </w:r>
      <w:r>
        <w:rPr>
          <w:rFonts w:hint="eastAsia"/>
        </w:rPr>
        <w:t>依據</w:t>
      </w:r>
      <w:r w:rsidRPr="004F0ECA">
        <w:rPr>
          <w:rFonts w:hint="eastAsia"/>
        </w:rPr>
        <w:t>行政院身心障礙者權益推動小組設置要點</w:t>
      </w:r>
      <w:r>
        <w:rPr>
          <w:rFonts w:hint="eastAsia"/>
        </w:rPr>
        <w:t>第2點規定。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3CAE5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0A08EA"/>
    <w:multiLevelType w:val="hybridMultilevel"/>
    <w:tmpl w:val="186C3402"/>
    <w:lvl w:ilvl="0" w:tplc="838C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F92B3C"/>
    <w:multiLevelType w:val="hybridMultilevel"/>
    <w:tmpl w:val="C2E4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5677C"/>
    <w:multiLevelType w:val="hybridMultilevel"/>
    <w:tmpl w:val="F06E3450"/>
    <w:lvl w:ilvl="0" w:tplc="97DA04D0">
      <w:start w:val="1"/>
      <w:numFmt w:val="decimal"/>
      <w:lvlText w:val="%1."/>
      <w:lvlJc w:val="left"/>
      <w:pPr>
        <w:ind w:left="363" w:hanging="360"/>
      </w:pPr>
      <w:rPr>
        <w:rFonts w:hint="default"/>
      </w:rPr>
    </w:lvl>
    <w:lvl w:ilvl="1" w:tplc="04090019">
      <w:start w:val="1"/>
      <w:numFmt w:val="ideographTraditional"/>
      <w:lvlText w:val="%2、"/>
      <w:lvlJc w:val="left"/>
      <w:pPr>
        <w:ind w:left="963" w:hanging="480"/>
      </w:pPr>
    </w:lvl>
    <w:lvl w:ilvl="2" w:tplc="0409001B">
      <w:start w:val="1"/>
      <w:numFmt w:val="lowerRoman"/>
      <w:lvlText w:val="%3."/>
      <w:lvlJc w:val="right"/>
      <w:pPr>
        <w:ind w:left="1443" w:hanging="480"/>
      </w:pPr>
    </w:lvl>
    <w:lvl w:ilvl="3" w:tplc="0409000F">
      <w:start w:val="1"/>
      <w:numFmt w:val="decimal"/>
      <w:lvlText w:val="%4."/>
      <w:lvlJc w:val="left"/>
      <w:pPr>
        <w:ind w:left="1923" w:hanging="480"/>
      </w:pPr>
    </w:lvl>
    <w:lvl w:ilvl="4" w:tplc="04090019">
      <w:start w:val="1"/>
      <w:numFmt w:val="ideographTraditional"/>
      <w:lvlText w:val="%5、"/>
      <w:lvlJc w:val="left"/>
      <w:pPr>
        <w:ind w:left="2403" w:hanging="480"/>
      </w:pPr>
    </w:lvl>
    <w:lvl w:ilvl="5" w:tplc="0409001B">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E2141F"/>
    <w:multiLevelType w:val="multilevel"/>
    <w:tmpl w:val="0B10A32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D92D42"/>
    <w:multiLevelType w:val="hybridMultilevel"/>
    <w:tmpl w:val="9FD89104"/>
    <w:lvl w:ilvl="0" w:tplc="AC1AF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8"/>
  </w:num>
  <w:num w:numId="4">
    <w:abstractNumId w:val="6"/>
  </w:num>
  <w:num w:numId="5">
    <w:abstractNumId w:val="9"/>
  </w:num>
  <w:num w:numId="6">
    <w:abstractNumId w:val="11"/>
  </w:num>
  <w:num w:numId="7">
    <w:abstractNumId w:val="7"/>
  </w:num>
  <w:num w:numId="8">
    <w:abstractNumId w:val="0"/>
  </w:num>
  <w:num w:numId="9">
    <w:abstractNumId w:val="3"/>
  </w:num>
  <w:num w:numId="10">
    <w:abstractNumId w:val="1"/>
  </w:num>
  <w:num w:numId="11">
    <w:abstractNumId w:val="12"/>
  </w:num>
  <w:num w:numId="12">
    <w:abstractNumId w:val="4"/>
  </w:num>
  <w:num w:numId="13">
    <w:abstractNumId w:val="10"/>
  </w:num>
  <w:num w:numId="14">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3EA7"/>
    <w:rsid w:val="0012001E"/>
    <w:rsid w:val="00126A55"/>
    <w:rsid w:val="00133AA2"/>
    <w:rsid w:val="00133F08"/>
    <w:rsid w:val="001345E6"/>
    <w:rsid w:val="001378B0"/>
    <w:rsid w:val="00142E00"/>
    <w:rsid w:val="00152793"/>
    <w:rsid w:val="001545A9"/>
    <w:rsid w:val="001637C7"/>
    <w:rsid w:val="0016480E"/>
    <w:rsid w:val="001723ED"/>
    <w:rsid w:val="00174297"/>
    <w:rsid w:val="001817B3"/>
    <w:rsid w:val="00183014"/>
    <w:rsid w:val="001959C2"/>
    <w:rsid w:val="001A4870"/>
    <w:rsid w:val="001A7968"/>
    <w:rsid w:val="001B3483"/>
    <w:rsid w:val="001B3C1E"/>
    <w:rsid w:val="001B4494"/>
    <w:rsid w:val="001B48EB"/>
    <w:rsid w:val="001C0D8B"/>
    <w:rsid w:val="001C0DA8"/>
    <w:rsid w:val="001C5555"/>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387E"/>
    <w:rsid w:val="002E53B4"/>
    <w:rsid w:val="002F3DFF"/>
    <w:rsid w:val="002F5E05"/>
    <w:rsid w:val="00317053"/>
    <w:rsid w:val="0032109C"/>
    <w:rsid w:val="00322B45"/>
    <w:rsid w:val="00323809"/>
    <w:rsid w:val="00323D41"/>
    <w:rsid w:val="00325414"/>
    <w:rsid w:val="003302F1"/>
    <w:rsid w:val="0034470E"/>
    <w:rsid w:val="00350238"/>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A3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54EF"/>
    <w:rsid w:val="00563692"/>
    <w:rsid w:val="00571349"/>
    <w:rsid w:val="005908B8"/>
    <w:rsid w:val="0059512E"/>
    <w:rsid w:val="005A6DD2"/>
    <w:rsid w:val="005C385D"/>
    <w:rsid w:val="005D3B20"/>
    <w:rsid w:val="005E5C68"/>
    <w:rsid w:val="005E65C0"/>
    <w:rsid w:val="005F0390"/>
    <w:rsid w:val="00611E84"/>
    <w:rsid w:val="00612023"/>
    <w:rsid w:val="00614190"/>
    <w:rsid w:val="00617D1E"/>
    <w:rsid w:val="00622A99"/>
    <w:rsid w:val="00622E67"/>
    <w:rsid w:val="00626EDC"/>
    <w:rsid w:val="0064315F"/>
    <w:rsid w:val="006470EC"/>
    <w:rsid w:val="0065598E"/>
    <w:rsid w:val="00655AF2"/>
    <w:rsid w:val="006568BE"/>
    <w:rsid w:val="0066025D"/>
    <w:rsid w:val="006773EC"/>
    <w:rsid w:val="00680504"/>
    <w:rsid w:val="00681CD9"/>
    <w:rsid w:val="00683E30"/>
    <w:rsid w:val="00687024"/>
    <w:rsid w:val="00696415"/>
    <w:rsid w:val="006C6552"/>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6AC9"/>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4FC1"/>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4C8A"/>
    <w:rsid w:val="00A639F4"/>
    <w:rsid w:val="00A81A32"/>
    <w:rsid w:val="00A835BD"/>
    <w:rsid w:val="00A90716"/>
    <w:rsid w:val="00A97B15"/>
    <w:rsid w:val="00AA42D5"/>
    <w:rsid w:val="00AB2FAB"/>
    <w:rsid w:val="00AB5C14"/>
    <w:rsid w:val="00AC1EE7"/>
    <w:rsid w:val="00AC333F"/>
    <w:rsid w:val="00AC585C"/>
    <w:rsid w:val="00AD1925"/>
    <w:rsid w:val="00AE067D"/>
    <w:rsid w:val="00AE1257"/>
    <w:rsid w:val="00AF1181"/>
    <w:rsid w:val="00AF2F79"/>
    <w:rsid w:val="00AF4653"/>
    <w:rsid w:val="00AF46C3"/>
    <w:rsid w:val="00AF7DB7"/>
    <w:rsid w:val="00B27132"/>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47"/>
    <w:rsid w:val="00E21CC7"/>
    <w:rsid w:val="00E24D9E"/>
    <w:rsid w:val="00E25849"/>
    <w:rsid w:val="00E30BEA"/>
    <w:rsid w:val="00E3197E"/>
    <w:rsid w:val="00E342F8"/>
    <w:rsid w:val="00E351ED"/>
    <w:rsid w:val="00E53D87"/>
    <w:rsid w:val="00E6034B"/>
    <w:rsid w:val="00E6549E"/>
    <w:rsid w:val="00E65EDE"/>
    <w:rsid w:val="00E70F81"/>
    <w:rsid w:val="00E71D2F"/>
    <w:rsid w:val="00E77055"/>
    <w:rsid w:val="00E77460"/>
    <w:rsid w:val="00E83ABC"/>
    <w:rsid w:val="00E844F2"/>
    <w:rsid w:val="00E92FCB"/>
    <w:rsid w:val="00EA147F"/>
    <w:rsid w:val="00EB769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267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2FFF1"/>
  <w15:docId w15:val="{C2970741-5715-4D66-86B6-C82EB10D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3"/>
      </w:numPr>
      <w:outlineLvl w:val="0"/>
    </w:pPr>
    <w:rPr>
      <w:rFonts w:hAnsi="Arial"/>
      <w:bCs/>
      <w:kern w:val="32"/>
      <w:szCs w:val="52"/>
    </w:rPr>
  </w:style>
  <w:style w:type="paragraph" w:styleId="2">
    <w:name w:val="heading 2"/>
    <w:basedOn w:val="a7"/>
    <w:link w:val="20"/>
    <w:qFormat/>
    <w:rsid w:val="00ED0CAC"/>
    <w:pPr>
      <w:numPr>
        <w:ilvl w:val="1"/>
        <w:numId w:val="13"/>
      </w:numPr>
      <w:outlineLvl w:val="1"/>
    </w:pPr>
    <w:rPr>
      <w:rFonts w:hAnsi="Arial"/>
      <w:b/>
      <w:bCs/>
      <w:kern w:val="32"/>
      <w:szCs w:val="48"/>
    </w:rPr>
  </w:style>
  <w:style w:type="paragraph" w:styleId="3">
    <w:name w:val="heading 3"/>
    <w:basedOn w:val="a7"/>
    <w:link w:val="30"/>
    <w:qFormat/>
    <w:rsid w:val="004F5E57"/>
    <w:pPr>
      <w:numPr>
        <w:ilvl w:val="2"/>
        <w:numId w:val="13"/>
      </w:numPr>
      <w:outlineLvl w:val="2"/>
    </w:pPr>
    <w:rPr>
      <w:rFonts w:hAnsi="Arial"/>
      <w:bCs/>
      <w:kern w:val="32"/>
      <w:szCs w:val="36"/>
    </w:rPr>
  </w:style>
  <w:style w:type="paragraph" w:styleId="4">
    <w:name w:val="heading 4"/>
    <w:basedOn w:val="a7"/>
    <w:link w:val="40"/>
    <w:qFormat/>
    <w:rsid w:val="004F5E57"/>
    <w:pPr>
      <w:numPr>
        <w:ilvl w:val="3"/>
        <w:numId w:val="13"/>
      </w:numPr>
      <w:outlineLvl w:val="3"/>
    </w:pPr>
    <w:rPr>
      <w:rFonts w:hAnsi="Arial"/>
      <w:kern w:val="32"/>
      <w:szCs w:val="36"/>
    </w:rPr>
  </w:style>
  <w:style w:type="paragraph" w:styleId="5">
    <w:name w:val="heading 5"/>
    <w:basedOn w:val="a7"/>
    <w:qFormat/>
    <w:rsid w:val="004F5E57"/>
    <w:pPr>
      <w:numPr>
        <w:ilvl w:val="4"/>
        <w:numId w:val="13"/>
      </w:numPr>
      <w:outlineLvl w:val="4"/>
    </w:pPr>
    <w:rPr>
      <w:rFonts w:hAnsi="Arial"/>
      <w:bCs/>
      <w:kern w:val="32"/>
      <w:szCs w:val="36"/>
    </w:rPr>
  </w:style>
  <w:style w:type="paragraph" w:styleId="6">
    <w:name w:val="heading 6"/>
    <w:basedOn w:val="a7"/>
    <w:qFormat/>
    <w:rsid w:val="004F5E57"/>
    <w:pPr>
      <w:numPr>
        <w:ilvl w:val="5"/>
        <w:numId w:val="13"/>
      </w:numPr>
      <w:tabs>
        <w:tab w:val="left" w:pos="2094"/>
      </w:tabs>
      <w:outlineLvl w:val="5"/>
    </w:pPr>
    <w:rPr>
      <w:rFonts w:hAnsi="Arial"/>
      <w:kern w:val="32"/>
      <w:szCs w:val="36"/>
    </w:rPr>
  </w:style>
  <w:style w:type="paragraph" w:styleId="7">
    <w:name w:val="heading 7"/>
    <w:basedOn w:val="a7"/>
    <w:qFormat/>
    <w:rsid w:val="004F5E57"/>
    <w:pPr>
      <w:numPr>
        <w:ilvl w:val="6"/>
        <w:numId w:val="13"/>
      </w:numPr>
      <w:outlineLvl w:val="6"/>
    </w:pPr>
    <w:rPr>
      <w:rFonts w:hAnsi="Arial"/>
      <w:bCs/>
      <w:kern w:val="32"/>
      <w:szCs w:val="36"/>
    </w:rPr>
  </w:style>
  <w:style w:type="paragraph" w:styleId="8">
    <w:name w:val="heading 8"/>
    <w:basedOn w:val="a7"/>
    <w:qFormat/>
    <w:rsid w:val="004F5E57"/>
    <w:pPr>
      <w:numPr>
        <w:ilvl w:val="7"/>
        <w:numId w:val="13"/>
      </w:numPr>
      <w:outlineLvl w:val="7"/>
    </w:pPr>
    <w:rPr>
      <w:rFonts w:hAnsi="Arial"/>
      <w:kern w:val="32"/>
      <w:szCs w:val="36"/>
    </w:rPr>
  </w:style>
  <w:style w:type="paragraph" w:styleId="9">
    <w:name w:val="heading 9"/>
    <w:basedOn w:val="a7"/>
    <w:link w:val="90"/>
    <w:uiPriority w:val="9"/>
    <w:unhideWhenUsed/>
    <w:qFormat/>
    <w:rsid w:val="00C055EC"/>
    <w:pPr>
      <w:numPr>
        <w:ilvl w:val="8"/>
        <w:numId w:val="13"/>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aliases w:val="卑南壹,詳細說明,Footnote Sam,List Paragraph (numbered (a)),Text,Noise heading,RUS List,Rec para,Dot pt,F5 List Paragraph,No Spacing1,List Paragraph Char Char Char,Indicator Text,Numbered Para 1,Recommendation,numbered,L,表名,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8"/>
    <w:link w:val="2"/>
    <w:rsid w:val="0064315F"/>
    <w:rPr>
      <w:rFonts w:ascii="標楷體" w:eastAsia="標楷體" w:hAnsi="Arial"/>
      <w:b/>
      <w:bCs/>
      <w:kern w:val="32"/>
      <w:sz w:val="32"/>
      <w:szCs w:val="48"/>
    </w:rPr>
  </w:style>
  <w:style w:type="character" w:customStyle="1" w:styleId="30">
    <w:name w:val="標題 3 字元"/>
    <w:basedOn w:val="a8"/>
    <w:link w:val="3"/>
    <w:rsid w:val="0064315F"/>
    <w:rPr>
      <w:rFonts w:ascii="標楷體" w:eastAsia="標楷體" w:hAnsi="Arial"/>
      <w:bCs/>
      <w:kern w:val="32"/>
      <w:sz w:val="32"/>
      <w:szCs w:val="36"/>
    </w:rPr>
  </w:style>
  <w:style w:type="character" w:customStyle="1" w:styleId="40">
    <w:name w:val="標題 4 字元"/>
    <w:basedOn w:val="a8"/>
    <w:link w:val="4"/>
    <w:rsid w:val="0064315F"/>
    <w:rPr>
      <w:rFonts w:ascii="標楷體" w:eastAsia="標楷體" w:hAnsi="Arial"/>
      <w:kern w:val="32"/>
      <w:sz w:val="32"/>
      <w:szCs w:val="36"/>
    </w:rPr>
  </w:style>
  <w:style w:type="character" w:customStyle="1" w:styleId="af9">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8"/>
    <w:uiPriority w:val="34"/>
    <w:qFormat/>
    <w:rsid w:val="0064315F"/>
    <w:rPr>
      <w:rFonts w:ascii="標楷體" w:eastAsia="標楷體"/>
      <w:kern w:val="2"/>
      <w:sz w:val="32"/>
    </w:rPr>
  </w:style>
  <w:style w:type="paragraph" w:styleId="afc">
    <w:name w:val="Plain Text"/>
    <w:basedOn w:val="a7"/>
    <w:link w:val="afd"/>
    <w:uiPriority w:val="99"/>
    <w:semiHidden/>
    <w:unhideWhenUsed/>
    <w:rsid w:val="0064315F"/>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64315F"/>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64315F"/>
    <w:pPr>
      <w:numPr>
        <w:numId w:val="8"/>
      </w:numPr>
      <w:contextualSpacing/>
    </w:pPr>
  </w:style>
  <w:style w:type="paragraph" w:styleId="afe">
    <w:name w:val="footnote text"/>
    <w:basedOn w:val="a7"/>
    <w:link w:val="aff"/>
    <w:uiPriority w:val="99"/>
    <w:unhideWhenUsed/>
    <w:rsid w:val="0064315F"/>
    <w:pPr>
      <w:snapToGrid w:val="0"/>
      <w:jc w:val="left"/>
    </w:pPr>
    <w:rPr>
      <w:sz w:val="20"/>
    </w:rPr>
  </w:style>
  <w:style w:type="character" w:customStyle="1" w:styleId="aff">
    <w:name w:val="註腳文字 字元"/>
    <w:basedOn w:val="a8"/>
    <w:link w:val="afe"/>
    <w:uiPriority w:val="99"/>
    <w:rsid w:val="0064315F"/>
    <w:rPr>
      <w:rFonts w:ascii="標楷體" w:eastAsia="標楷體"/>
      <w:kern w:val="2"/>
    </w:rPr>
  </w:style>
  <w:style w:type="character" w:styleId="aff0">
    <w:name w:val="footnote reference"/>
    <w:basedOn w:val="a8"/>
    <w:uiPriority w:val="99"/>
    <w:unhideWhenUsed/>
    <w:rsid w:val="0064315F"/>
    <w:rPr>
      <w:vertAlign w:val="superscript"/>
    </w:rPr>
  </w:style>
  <w:style w:type="paragraph" w:customStyle="1" w:styleId="Default">
    <w:name w:val="Default"/>
    <w:rsid w:val="0064315F"/>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3634-4275-4476-8FC8-61D8D99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TotalTime>
  <Pages>21</Pages>
  <Words>1908</Words>
  <Characters>10878</Characters>
  <Application>Microsoft Office Word</Application>
  <DocSecurity>0</DocSecurity>
  <Lines>90</Lines>
  <Paragraphs>25</Paragraphs>
  <ScaleCrop>false</ScaleCrop>
  <Company>cy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林秀珍</cp:lastModifiedBy>
  <cp:revision>20</cp:revision>
  <cp:lastPrinted>2023-01-11T03:13:00Z</cp:lastPrinted>
  <dcterms:created xsi:type="dcterms:W3CDTF">2023-01-11T02:50:00Z</dcterms:created>
  <dcterms:modified xsi:type="dcterms:W3CDTF">2023-01-30T07:24:00Z</dcterms:modified>
</cp:coreProperties>
</file>